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Verdana" w:hAnsi="Verdana"/>
          <w:b/>
          <w:bCs/>
        </w:rPr>
      </w:pPr>
      <w:r>
        <w:rPr>
          <w:rFonts w:ascii="Verdana" w:hAnsi="Verdana"/>
          <w:b/>
          <w:bCs/>
        </w:rPr>
        <w:t xml:space="preserve">EDITAL </w:t>
      </w:r>
    </w:p>
    <w:p>
      <w:pPr>
        <w:pStyle w:val="Normal"/>
        <w:jc w:val="center"/>
        <w:rPr>
          <w:rFonts w:ascii="Verdana" w:hAnsi="Verdana"/>
          <w:b/>
          <w:bCs/>
        </w:rPr>
      </w:pPr>
      <w:r>
        <w:rPr>
          <w:rFonts w:ascii="Verdana" w:hAnsi="Verdana"/>
          <w:b/>
          <w:bCs/>
        </w:rPr>
      </w:r>
    </w:p>
    <w:p>
      <w:pPr>
        <w:pStyle w:val="Normal"/>
        <w:jc w:val="center"/>
        <w:rPr>
          <w:rFonts w:ascii="Verdana" w:hAnsi="Verdana"/>
          <w:b/>
          <w:bCs/>
        </w:rPr>
      </w:pPr>
      <w:r>
        <w:rPr>
          <w:rFonts w:ascii="Verdana" w:hAnsi="Verdana"/>
          <w:b/>
          <w:bCs/>
        </w:rPr>
        <w:t>PREGÃO ELETRÔNICO Nº 039/2024</w:t>
      </w:r>
    </w:p>
    <w:p>
      <w:pPr>
        <w:pStyle w:val="Normal"/>
        <w:jc w:val="center"/>
        <w:rPr>
          <w:rFonts w:ascii="Verdana" w:hAnsi="Verdana"/>
          <w:b/>
          <w:bCs/>
        </w:rPr>
      </w:pPr>
      <w:r>
        <w:rPr>
          <w:rFonts w:ascii="Verdana" w:hAnsi="Verdana"/>
          <w:b/>
          <w:bCs/>
        </w:rPr>
      </w:r>
    </w:p>
    <w:p>
      <w:pPr>
        <w:pStyle w:val="Normal"/>
        <w:jc w:val="center"/>
        <w:rPr>
          <w:rFonts w:ascii="Verdana" w:hAnsi="Verdana"/>
          <w:b/>
          <w:bCs/>
        </w:rPr>
      </w:pPr>
      <w:r>
        <w:rPr>
          <w:rFonts w:ascii="Verdana" w:hAnsi="Verdana"/>
          <w:b/>
          <w:bCs/>
        </w:rPr>
        <w:t>(Processo Administrativo n° 4722/2024 de 21/06/2024)</w:t>
      </w:r>
    </w:p>
    <w:p>
      <w:pPr>
        <w:pStyle w:val="Normal"/>
        <w:spacing w:lineRule="auto" w:line="276"/>
        <w:jc w:val="center"/>
        <w:rPr>
          <w:rFonts w:ascii="Verdana" w:hAnsi="Verdana"/>
          <w:sz w:val="20"/>
          <w:szCs w:val="20"/>
        </w:rPr>
      </w:pPr>
      <w:r>
        <w:rPr>
          <w:rFonts w:ascii="Verdana" w:hAnsi="Verdana"/>
          <w:sz w:val="20"/>
          <w:szCs w:val="20"/>
        </w:rPr>
      </w:r>
    </w:p>
    <w:p>
      <w:pPr>
        <w:pStyle w:val="BodyText"/>
        <w:spacing w:lineRule="auto" w:line="360"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360"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26/09/2024</w:t>
      </w:r>
      <w:r>
        <w:rPr>
          <w:rFonts w:cs="Arial" w:ascii="Verdana" w:hAnsi="Verdana"/>
          <w:b/>
          <w:bCs/>
          <w:color w:val="000000"/>
          <w:sz w:val="20"/>
          <w:szCs w:val="20"/>
        </w:rPr>
        <w:t>.</w:t>
      </w:r>
    </w:p>
    <w:p>
      <w:pPr>
        <w:pStyle w:val="Normal"/>
        <w:spacing w:lineRule="auto" w:line="360"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lineRule="auto" w:line="360" w:before="57" w:after="57"/>
        <w:rPr>
          <w:rFonts w:ascii="Verdana" w:hAnsi="Verdana"/>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w:t>
      </w:r>
      <w:r>
        <w:rPr>
          <w:rFonts w:cs="Arial" w:ascii="Verdana" w:hAnsi="Verdana"/>
          <w:color w:val="000000"/>
          <w:sz w:val="20"/>
          <w:szCs w:val="20"/>
        </w:rPr>
        <w:t xml:space="preserve"> </w:t>
      </w:r>
      <w:r>
        <w:rPr>
          <w:rFonts w:cs="Arial" w:ascii="Verdana" w:hAnsi="Verdana"/>
          <w:b/>
          <w:color w:val="000080"/>
          <w:sz w:val="20"/>
          <w:szCs w:val="20"/>
        </w:rPr>
        <w:t xml:space="preserve">www.portaldecompraspublicas.com.br </w:t>
      </w:r>
    </w:p>
    <w:p>
      <w:pPr>
        <w:pStyle w:val="Normal"/>
        <w:spacing w:lineRule="auto" w:line="360" w:before="57" w:after="57"/>
        <w:rPr>
          <w:rFonts w:ascii="Verdana" w:hAnsi="Verdana"/>
          <w:sz w:val="20"/>
          <w:szCs w:val="20"/>
        </w:rPr>
      </w:pPr>
      <w:r>
        <w:rPr>
          <w:rFonts w:ascii="Verdana" w:hAnsi="Verdana"/>
          <w:sz w:val="20"/>
          <w:szCs w:val="20"/>
        </w:rPr>
        <w:t xml:space="preserve"> </w:t>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rPr>
        <w:t>DO OBJETO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color w:val="000000"/>
          <w:sz w:val="20"/>
          <w:szCs w:val="20"/>
        </w:rPr>
        <w:t>1.1 O objeto da presente licitação é a aquisição de material permanente para serem utilizados na Associação de Pais e Amigos dos Excepcionais – APAE, deste município, no sentido de garantir melhor ambiente de convivência e desenvolvimento de atividades aos acolhidos</w:t>
      </w:r>
      <w:r>
        <w:rPr>
          <w:rFonts w:eastAsia="Batang;바탕" w:cs="Arial" w:ascii="Verdana" w:hAnsi="Verdana"/>
          <w:color w:val="000000"/>
          <w:kern w:val="2"/>
          <w:sz w:val="20"/>
          <w:szCs w:val="20"/>
          <w:lang w:eastAsia="en-US" w:bidi="pt-BR"/>
        </w:rPr>
        <w:t>, conforme c</w:t>
      </w:r>
      <w:r>
        <w:rPr>
          <w:rFonts w:cs="Arial" w:ascii="Verdana" w:hAnsi="Verdana"/>
          <w:sz w:val="20"/>
          <w:szCs w:val="20"/>
        </w:rPr>
        <w:t>ondições, quantidades e exigências estabelecidas neste Edital e seus anexos.</w:t>
      </w:r>
    </w:p>
    <w:p>
      <w:pPr>
        <w:pStyle w:val="Normal"/>
        <w:spacing w:lineRule="auto" w:line="360" w:before="57" w:after="57"/>
        <w:ind w:left="0" w:right="0"/>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360" w:before="57" w:after="57"/>
        <w:ind w:left="0" w:right="0"/>
        <w:jc w:val="both"/>
        <w:rPr>
          <w:rFonts w:ascii="Verdana" w:hAnsi="Verdana" w:eastAsia="Segoe UI" w:cs="Arial"/>
          <w:color w:val="000000"/>
          <w:kern w:val="0"/>
          <w:sz w:val="20"/>
          <w:szCs w:val="20"/>
          <w:lang w:val="pt-BR" w:eastAsia="pt-BR" w:bidi="ar-SA"/>
        </w:rPr>
      </w:pPr>
      <w:r>
        <w:rPr>
          <w:rFonts w:eastAsia="Segoe UI" w:cs="Arial" w:ascii="Verdana" w:hAnsi="Verdana"/>
          <w:color w:val="000000"/>
          <w:kern w:val="0"/>
          <w:sz w:val="20"/>
          <w:szCs w:val="20"/>
          <w:lang w:val="pt-BR" w:eastAsia="pt-BR" w:bidi="ar-SA"/>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rPr>
        <w:t>DOS RECURSOS ORÇAMENTÁRIOS</w:t>
      </w:r>
    </w:p>
    <w:p>
      <w:pPr>
        <w:pStyle w:val="Normal"/>
        <w:spacing w:lineRule="auto" w:line="360" w:before="57" w:after="57"/>
        <w:ind w:left="0" w:right="0"/>
        <w:jc w:val="both"/>
        <w:rPr>
          <w:rFonts w:ascii="Verdana" w:hAnsi="Verdana"/>
          <w:sz w:val="20"/>
          <w:szCs w:val="20"/>
        </w:rPr>
      </w:pPr>
      <w:r>
        <w:rPr>
          <w:rFonts w:cs="Arial" w:ascii="Verdana" w:hAnsi="Verdana"/>
          <w:color w:val="000000"/>
          <w:sz w:val="20"/>
          <w:szCs w:val="20"/>
        </w:rPr>
        <w:t xml:space="preserve">2.1. </w:t>
      </w:r>
      <w:r>
        <w:rPr>
          <w:rFonts w:cs="Times New Roman" w:ascii="Verdana" w:hAnsi="Verdana"/>
          <w:color w:val="000000"/>
          <w:sz w:val="20"/>
          <w:szCs w:val="20"/>
        </w:rPr>
        <w:t>Os recursos necessários para a prestação dos serviços correrão a conta de dotações próprias consignadas no Orçamento vigente, conforme discriminado abaixo:</w:t>
      </w:r>
    </w:p>
    <w:p>
      <w:pPr>
        <w:pStyle w:val="Normal"/>
        <w:spacing w:lineRule="auto" w:line="360" w:before="57" w:after="57"/>
        <w:ind w:left="0" w:right="0"/>
        <w:jc w:val="both"/>
        <w:rPr>
          <w:rFonts w:ascii="Verdana" w:hAnsi="Verdana"/>
          <w:sz w:val="20"/>
          <w:szCs w:val="20"/>
        </w:rPr>
      </w:pPr>
      <w:r>
        <w:rPr>
          <w:rFonts w:cs="Times New Roman" w:ascii="Verdana" w:hAnsi="Verdana"/>
          <w:b/>
          <w:bCs/>
          <w:sz w:val="20"/>
          <w:szCs w:val="20"/>
          <w:lang w:eastAsia="ar-SA"/>
        </w:rPr>
        <w:t xml:space="preserve"> – </w:t>
      </w:r>
      <w:r>
        <w:rPr>
          <w:rFonts w:cs="Times New Roman" w:ascii="Verdana" w:hAnsi="Verdana"/>
          <w:b/>
          <w:bCs/>
          <w:sz w:val="20"/>
          <w:szCs w:val="20"/>
          <w:lang w:eastAsia="ar-SA"/>
        </w:rPr>
        <w:t>Secretaria Municipal de Assistência, Desenvolvimento Social e Família</w:t>
      </w:r>
    </w:p>
    <w:p>
      <w:pPr>
        <w:pStyle w:val="Normal"/>
        <w:spacing w:lineRule="auto" w:line="360" w:before="57" w:after="57"/>
        <w:ind w:left="0" w:right="0"/>
        <w:jc w:val="both"/>
        <w:rPr>
          <w:rFonts w:ascii="Verdana" w:hAnsi="Verdana"/>
          <w:sz w:val="20"/>
          <w:szCs w:val="20"/>
        </w:rPr>
      </w:pPr>
      <w:r>
        <w:rPr>
          <w:rFonts w:cs="Times New Roman" w:ascii="Verdana" w:hAnsi="Verdana"/>
          <w:color w:val="000000"/>
          <w:sz w:val="20"/>
          <w:szCs w:val="20"/>
          <w:lang w:eastAsia="ar-SA"/>
        </w:rPr>
        <w:t>Ficha 00375 – 16600000999 – Transferência de Recursos do Fundo Nacional de Assistência Social – FNAS.</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rPr>
        <w:t>DO CREDENCIAMENTO</w:t>
      </w:r>
    </w:p>
    <w:p>
      <w:pPr>
        <w:pStyle w:val="Default"/>
        <w:spacing w:lineRule="auto" w:line="360" w:before="57" w:after="57"/>
        <w:ind w:left="0" w:right="0"/>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360" w:before="57" w:after="57"/>
        <w:ind w:left="0" w:right="0"/>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360" w:before="57" w:after="57"/>
        <w:ind w:left="0" w:right="0"/>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360" w:before="57" w:after="57"/>
        <w:ind w:left="0" w:right="0"/>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360" w:before="57" w:after="57"/>
        <w:ind w:left="0" w:right="0"/>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360" w:before="57" w:after="57"/>
        <w:ind w:left="0" w:right="0"/>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rPr>
        <w:t>DA PARTICIPAÇÃO NO PREGÃO.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4.1</w:t>
      </w:r>
      <w:r>
        <w:rPr>
          <w:rFonts w:cs="Arial" w:ascii="Verdana" w:hAnsi="Verdana"/>
          <w:bCs/>
          <w:color w:val="000000"/>
          <w:sz w:val="20"/>
          <w:szCs w:val="20"/>
        </w:rPr>
        <w:t xml:space="preserve">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360" w:before="57" w:after="57"/>
        <w:ind w:left="0" w:right="0"/>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360" w:before="57" w:after="57"/>
        <w:ind w:left="0" w:right="0"/>
        <w:jc w:val="both"/>
        <w:rPr>
          <w:rFonts w:ascii="Verdana" w:hAnsi="Verdana"/>
          <w:sz w:val="20"/>
          <w:szCs w:val="20"/>
        </w:rPr>
      </w:pPr>
      <w:r>
        <w:rPr>
          <w:rFonts w:cs="Arial" w:ascii="Verdana" w:hAnsi="Verdana"/>
          <w:bCs/>
          <w:iCs/>
          <w:color w:val="000000"/>
          <w:sz w:val="20"/>
          <w:szCs w:val="20"/>
        </w:rPr>
        <w:t>4.2.1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360" w:before="57" w:after="57"/>
        <w:ind w:left="0" w:right="0"/>
        <w:jc w:val="both"/>
        <w:rPr>
          <w:rFonts w:ascii="Verdana" w:hAnsi="Verdana"/>
          <w:sz w:val="20"/>
          <w:szCs w:val="20"/>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w:t>
      </w:r>
      <w:r>
        <w:rPr>
          <w:rFonts w:cs="Arial" w:ascii="Verdana" w:hAnsi="Verdana"/>
          <w:b/>
          <w:sz w:val="20"/>
          <w:szCs w:val="20"/>
        </w:rPr>
        <w:t xml:space="preserve">todas as certidões relativas a regularidade fiscal, mesmo que contenham alguma restrição, e ainda, </w:t>
      </w:r>
      <w:r>
        <w:rPr>
          <w:rFonts w:cs="Arial" w:ascii="Verdana" w:hAnsi="Verdana"/>
          <w:b/>
          <w:bCs/>
          <w:sz w:val="20"/>
          <w:szCs w:val="20"/>
        </w:rPr>
        <w:t>a certidão expedida pela Junta Comercial da região sede da empresa,</w:t>
      </w:r>
      <w:r>
        <w:rPr>
          <w:rFonts w:cs="Arial" w:ascii="Verdana" w:hAnsi="Verdana"/>
          <w:sz w:val="20"/>
          <w:szCs w:val="20"/>
        </w:rPr>
        <w:t xml:space="preserve"> demonstrando a situação de enquadramento, emitida a partir do ano de </w:t>
      </w:r>
      <w:r>
        <w:rPr>
          <w:rFonts w:cs="Arial" w:ascii="Verdana" w:hAnsi="Verdana"/>
          <w:b/>
          <w:color w:val="FF0000"/>
          <w:sz w:val="20"/>
          <w:szCs w:val="20"/>
        </w:rPr>
        <w:t xml:space="preserve">2024,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360" w:before="57" w:after="57"/>
        <w:ind w:left="0" w:right="0"/>
        <w:jc w:val="both"/>
        <w:rPr>
          <w:rFonts w:ascii="Verdana" w:hAnsi="Verdana"/>
          <w:sz w:val="20"/>
          <w:szCs w:val="20"/>
        </w:rPr>
      </w:pPr>
      <w:r>
        <w:rPr>
          <w:rFonts w:cs="Arial" w:ascii="Verdana" w:hAnsi="Verdana"/>
          <w:b/>
          <w:bCs/>
          <w:color w:val="000000"/>
          <w:sz w:val="20"/>
          <w:szCs w:val="20"/>
        </w:rPr>
        <w:t>4.3</w:t>
      </w:r>
      <w:r>
        <w:rPr>
          <w:rFonts w:cs="Arial" w:ascii="Verdana" w:hAnsi="Verdana"/>
          <w:bCs/>
          <w:color w:val="000000"/>
          <w:sz w:val="20"/>
          <w:szCs w:val="20"/>
        </w:rPr>
        <w:t xml:space="preserve"> Não poderão participar desta licitação os interessados:</w:t>
      </w:r>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cs="Arial" w:ascii="Verdana" w:hAnsi="Verdana"/>
          <w:bCs/>
          <w:color w:val="000000"/>
          <w:sz w:val="20"/>
          <w:szCs w:val="20"/>
        </w:rPr>
        <w:t>4.3.3 A</w:t>
      </w:r>
      <w:bookmarkStart w:id="0"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0"/>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eastAsia="Arial Unicode MS" w:cs="Arial" w:ascii="Verdana" w:hAnsi="Verdana"/>
          <w:color w:val="000000"/>
          <w:sz w:val="20"/>
          <w:szCs w:val="20"/>
        </w:rPr>
        <w:t>4.3.4 E</w:t>
      </w:r>
      <w:bookmarkStart w:id="1"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cs="Arial" w:ascii="Verdana" w:hAnsi="Verdana"/>
          <w:color w:val="000000"/>
          <w:sz w:val="20"/>
          <w:szCs w:val="20"/>
        </w:rPr>
        <w:t>4.3.5 P</w:t>
      </w:r>
      <w:bookmarkStart w:id="2"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2"/>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cs="Arial" w:ascii="Verdana" w:hAnsi="Verdana"/>
          <w:color w:val="000000"/>
          <w:sz w:val="20"/>
          <w:szCs w:val="20"/>
        </w:rPr>
        <w:t>4.3.7 E</w:t>
      </w:r>
      <w:bookmarkStart w:id="3" w:name="_Ref113883579"/>
      <w:r>
        <w:rPr>
          <w:rFonts w:cs="Arial" w:ascii="Verdana" w:hAnsi="Verdana"/>
          <w:color w:val="000000"/>
          <w:sz w:val="20"/>
          <w:szCs w:val="20"/>
        </w:rPr>
        <w:t>mpresas controladoras, controladas ou coligadas, nos termos da Lei nº 6.404, de 15 de dezembro de 1976, concorrendo entre si;</w:t>
      </w:r>
      <w:bookmarkEnd w:id="3"/>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cs="Arial" w:ascii="Verdana" w:hAnsi="Verdana"/>
          <w:color w:val="000000"/>
          <w:sz w:val="20"/>
          <w:szCs w:val="20"/>
        </w:rPr>
        <w:t>4.3.8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360" w:before="57" w:after="57"/>
        <w:ind w:left="0" w:right="0"/>
        <w:jc w:val="both"/>
        <w:rPr>
          <w:rFonts w:ascii="Verdana" w:hAnsi="Verdana"/>
          <w:sz w:val="20"/>
          <w:szCs w:val="20"/>
        </w:rPr>
      </w:pPr>
      <w:r>
        <w:rPr>
          <w:rFonts w:cs="Arial" w:ascii="Verdana" w:hAnsi="Verdana"/>
          <w:color w:val="000000"/>
          <w:sz w:val="20"/>
          <w:szCs w:val="20"/>
        </w:rPr>
        <w:t>4.3.9 A</w:t>
      </w:r>
      <w:bookmarkStart w:id="4" w:name="_Ref113962336"/>
      <w:r>
        <w:rPr>
          <w:rFonts w:cs="Arial" w:ascii="Verdana" w:hAnsi="Verdana"/>
          <w:color w:val="000000"/>
          <w:sz w:val="20"/>
          <w:szCs w:val="20"/>
        </w:rPr>
        <w:t>gente público do órgão ou entidade licitante;</w:t>
      </w:r>
      <w:bookmarkEnd w:id="4"/>
    </w:p>
    <w:p>
      <w:pPr>
        <w:pStyle w:val="Normal"/>
        <w:snapToGrid w:val="false"/>
        <w:spacing w:lineRule="auto" w:line="360" w:before="57" w:after="57"/>
        <w:ind w:left="0" w:right="0"/>
        <w:jc w:val="both"/>
        <w:rPr>
          <w:rFonts w:ascii="Verdana" w:hAnsi="Verdana"/>
          <w:sz w:val="20"/>
          <w:szCs w:val="20"/>
        </w:rPr>
      </w:pPr>
      <w:r>
        <w:rPr>
          <w:rFonts w:cs="Arial" w:ascii="Verdana" w:hAnsi="Verdana"/>
          <w:bCs/>
          <w:color w:val="000000"/>
          <w:sz w:val="20"/>
          <w:szCs w:val="20"/>
        </w:rPr>
        <w:t>4.3.10 Pessoas jurídicas reunidas em consórcio;</w:t>
      </w:r>
    </w:p>
    <w:p>
      <w:pPr>
        <w:pStyle w:val="Normal"/>
        <w:snapToGrid w:val="false"/>
        <w:spacing w:lineRule="auto" w:line="360" w:before="57" w:after="57"/>
        <w:ind w:left="0" w:right="0"/>
        <w:jc w:val="both"/>
        <w:rPr>
          <w:rFonts w:ascii="Verdana" w:hAnsi="Verdana"/>
          <w:sz w:val="20"/>
          <w:szCs w:val="20"/>
        </w:rPr>
      </w:pPr>
      <w:r>
        <w:rPr>
          <w:rFonts w:cs="Arial" w:ascii="Verdana" w:hAnsi="Verdana"/>
          <w:bCs/>
          <w:color w:val="000000"/>
          <w:sz w:val="20"/>
          <w:szCs w:val="20"/>
        </w:rPr>
        <w:t>4.3.11 Organizações da Sociedade Civil interesse Público – OSCIP, atuando nessa condição;</w:t>
      </w:r>
    </w:p>
    <w:p>
      <w:pPr>
        <w:pStyle w:val="Normal"/>
        <w:snapToGrid w:val="false"/>
        <w:spacing w:lineRule="auto" w:line="360" w:before="57" w:after="57"/>
        <w:ind w:left="0" w:right="0"/>
        <w:jc w:val="both"/>
        <w:rPr/>
      </w:pPr>
      <w:r>
        <w:rPr>
          <w:rFonts w:cs="Arial" w:ascii="Verdana" w:hAnsi="Verdana"/>
          <w:bCs/>
          <w:color w:val="000000"/>
          <w:sz w:val="20"/>
          <w:szCs w:val="20"/>
        </w:rPr>
        <w:t xml:space="preserve">4.3.12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360" w:before="57" w:after="57"/>
        <w:ind w:hanging="0" w:left="0" w:right="0"/>
        <w:rPr>
          <w:rFonts w:ascii="Verdana" w:hAnsi="Verdana"/>
          <w:sz w:val="20"/>
          <w:szCs w:val="20"/>
        </w:rPr>
      </w:pPr>
      <w:r>
        <w:rPr>
          <w:rFonts w:eastAsia="Segoe UI" w:cs="Arial" w:ascii="Verdana" w:hAnsi="Verdana"/>
          <w:b/>
          <w:bCs/>
          <w:color w:val="000000"/>
          <w:sz w:val="20"/>
          <w:szCs w:val="20"/>
        </w:rPr>
        <w:t>4.4</w:t>
      </w:r>
      <w:r>
        <w:rPr>
          <w:rFonts w:eastAsia="Segoe UI" w:cs="Arial" w:ascii="Verdana" w:hAnsi="Verdana"/>
          <w:bCs/>
          <w:color w:val="000000"/>
          <w:sz w:val="20"/>
          <w:szCs w:val="20"/>
        </w:rPr>
        <w:t xml:space="preserve">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360" w:before="57" w:after="57"/>
        <w:ind w:hanging="0" w:left="0" w:right="0"/>
        <w:rPr>
          <w:rFonts w:ascii="Verdana" w:hAnsi="Verdana"/>
          <w:sz w:val="20"/>
          <w:szCs w:val="20"/>
        </w:rPr>
      </w:pPr>
      <w:bookmarkStart w:id="5" w:name="art14§2"/>
      <w:bookmarkEnd w:id="5"/>
      <w:r>
        <w:rPr>
          <w:rFonts w:eastAsia="Segoe UI" w:cs="Arial" w:ascii="Verdana" w:hAnsi="Verdana"/>
          <w:b/>
          <w:bCs/>
          <w:color w:val="000000"/>
          <w:sz w:val="20"/>
          <w:szCs w:val="20"/>
        </w:rPr>
        <w:t>4.5</w:t>
      </w:r>
      <w:r>
        <w:rPr>
          <w:rFonts w:eastAsia="Segoe UI" w:cs="Arial" w:ascii="Verdana" w:hAnsi="Verdana"/>
          <w:bCs/>
          <w:color w:val="000000"/>
          <w:sz w:val="20"/>
          <w:szCs w:val="20"/>
        </w:rPr>
        <w:t xml:space="preserve">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360" w:before="57" w:after="57"/>
        <w:ind w:hanging="0" w:left="0" w:right="0"/>
        <w:rPr>
          <w:rFonts w:ascii="Verdana" w:hAnsi="Verdana"/>
          <w:sz w:val="20"/>
          <w:szCs w:val="20"/>
        </w:rPr>
      </w:pPr>
      <w:bookmarkStart w:id="6" w:name="art14§3"/>
      <w:bookmarkEnd w:id="6"/>
      <w:r>
        <w:rPr>
          <w:rFonts w:eastAsia="Segoe UI" w:cs="Arial" w:ascii="Verdana" w:hAnsi="Verdana"/>
          <w:b/>
          <w:bCs/>
          <w:color w:val="000000"/>
          <w:sz w:val="20"/>
          <w:szCs w:val="20"/>
        </w:rPr>
        <w:t>4.6</w:t>
      </w:r>
      <w:r>
        <w:rPr>
          <w:rFonts w:eastAsia="Segoe UI" w:cs="Arial" w:ascii="Verdana" w:hAnsi="Verdana"/>
          <w:bCs/>
          <w:color w:val="000000"/>
          <w:sz w:val="20"/>
          <w:szCs w:val="20"/>
        </w:rPr>
        <w:t xml:space="preserve"> Equiparam-se aos autores do projeto as empresas integrantes do mesmo grupo econômico.</w:t>
      </w:r>
    </w:p>
    <w:p>
      <w:pPr>
        <w:pStyle w:val="Nivel2"/>
        <w:numPr>
          <w:ilvl w:val="0"/>
          <w:numId w:val="0"/>
        </w:numPr>
        <w:spacing w:lineRule="auto" w:line="360" w:before="57" w:after="57"/>
        <w:ind w:hanging="0" w:left="0" w:right="0"/>
        <w:rPr>
          <w:rFonts w:ascii="Verdana" w:hAnsi="Verdana"/>
          <w:sz w:val="20"/>
          <w:szCs w:val="20"/>
        </w:rPr>
      </w:pPr>
      <w:bookmarkStart w:id="7" w:name="art14§4"/>
      <w:bookmarkEnd w:id="7"/>
      <w:r>
        <w:rPr>
          <w:rFonts w:eastAsia="Segoe UI" w:cs="Arial" w:ascii="Verdana" w:hAnsi="Verdana"/>
          <w:b/>
          <w:bCs/>
          <w:color w:val="000000"/>
          <w:sz w:val="20"/>
          <w:szCs w:val="20"/>
        </w:rPr>
        <w:t>4.7</w:t>
      </w:r>
      <w:r>
        <w:rPr>
          <w:rFonts w:eastAsia="Segoe UI" w:cs="Arial" w:ascii="Verdana" w:hAnsi="Verdana"/>
          <w:bCs/>
          <w:color w:val="000000"/>
          <w:sz w:val="20"/>
          <w:szCs w:val="20"/>
        </w:rPr>
        <w:t xml:space="preserve">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360" w:before="57" w:after="57"/>
        <w:ind w:hanging="0" w:left="0" w:right="0"/>
        <w:rPr/>
      </w:pPr>
      <w:bookmarkStart w:id="8" w:name="art14§5"/>
      <w:bookmarkEnd w:id="8"/>
      <w:r>
        <w:rPr>
          <w:rFonts w:eastAsia="Segoe UI" w:cs="Arial" w:ascii="Verdana" w:hAnsi="Verdana"/>
          <w:b/>
          <w:bCs/>
          <w:color w:val="000000"/>
          <w:sz w:val="20"/>
          <w:szCs w:val="20"/>
        </w:rPr>
        <w:t>4.8</w:t>
      </w:r>
      <w:r>
        <w:rPr>
          <w:rFonts w:eastAsia="Segoe UI" w:cs="Arial" w:ascii="Verdana" w:hAnsi="Verdana"/>
          <w:bCs/>
          <w:color w:val="000000"/>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360" w:before="57" w:after="57"/>
        <w:ind w:hanging="0" w:left="0" w:right="0"/>
        <w:rPr>
          <w:rFonts w:ascii="Verdana" w:hAnsi="Verdana"/>
          <w:sz w:val="20"/>
          <w:szCs w:val="20"/>
        </w:rPr>
      </w:pPr>
      <w:r>
        <w:rPr>
          <w:rFonts w:eastAsia="Segoe UI" w:cs="Arial" w:ascii="Verdana" w:hAnsi="Verdana"/>
          <w:b/>
          <w:bCs/>
          <w:color w:val="000000"/>
          <w:sz w:val="20"/>
          <w:szCs w:val="20"/>
        </w:rPr>
        <w:t>4.9</w:t>
      </w:r>
      <w:r>
        <w:rPr>
          <w:rFonts w:eastAsia="Segoe UI" w:cs="Arial" w:ascii="Verdana" w:hAnsi="Verdana"/>
          <w:bCs/>
          <w:color w:val="000000"/>
          <w:sz w:val="20"/>
          <w:szCs w:val="20"/>
        </w:rPr>
        <w:t xml:space="preserve"> A vedação de que trata o item 4.3.9 estende-se a terceiro que auxilie a condução da contratação na qualidade de integrante de equipe de apoio, profissional especializado ou funcionário ou representante de empresa que preste assessoria técnica.</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4"/>
        </w:numPr>
        <w:tabs>
          <w:tab w:val="clear" w:pos="720"/>
          <w:tab w:val="left" w:pos="450" w:leader="none"/>
          <w:tab w:val="left" w:pos="1450" w:leader="none"/>
        </w:tabs>
        <w:spacing w:lineRule="auto" w:line="360" w:before="57" w:after="57"/>
        <w:ind w:hanging="0" w:left="0" w:righ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5"/>
        </w:numPr>
        <w:tabs>
          <w:tab w:val="clear" w:pos="720"/>
          <w:tab w:val="left" w:pos="450" w:leader="none"/>
        </w:tabs>
        <w:spacing w:lineRule="auto" w:line="360" w:before="57" w:after="57"/>
        <w:ind w:hanging="0" w:left="0" w:righ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6"/>
        </w:numPr>
        <w:tabs>
          <w:tab w:val="clear" w:pos="720"/>
          <w:tab w:val="left" w:pos="450" w:leader="none"/>
        </w:tabs>
        <w:spacing w:lineRule="auto" w:line="360" w:before="57" w:after="57"/>
        <w:ind w:hanging="0" w:left="0" w:righ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7"/>
        </w:numPr>
        <w:tabs>
          <w:tab w:val="clear" w:pos="720"/>
          <w:tab w:val="left" w:pos="450" w:leader="none"/>
        </w:tabs>
        <w:spacing w:lineRule="auto" w:line="360" w:before="57" w:after="57"/>
        <w:ind w:hanging="0" w:left="0" w:righ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8"/>
        </w:numPr>
        <w:tabs>
          <w:tab w:val="clear" w:pos="720"/>
          <w:tab w:val="left" w:pos="450" w:leader="none"/>
        </w:tabs>
        <w:spacing w:lineRule="auto" w:line="360" w:before="57" w:after="57"/>
        <w:ind w:hanging="0" w:left="0" w:righ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9"/>
        </w:numPr>
        <w:tabs>
          <w:tab w:val="clear" w:pos="720"/>
          <w:tab w:val="left" w:pos="450" w:leader="none"/>
        </w:tabs>
        <w:spacing w:lineRule="auto" w:line="360" w:before="57" w:after="57"/>
        <w:ind w:hanging="0" w:left="0" w:righ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0"/>
        </w:numPr>
        <w:tabs>
          <w:tab w:val="clear" w:pos="720"/>
          <w:tab w:val="left" w:pos="450" w:leader="none"/>
        </w:tabs>
        <w:spacing w:lineRule="auto" w:line="360" w:before="57" w:after="57"/>
        <w:ind w:hanging="0" w:left="0" w:righ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1"/>
        </w:numPr>
        <w:tabs>
          <w:tab w:val="clear" w:pos="720"/>
          <w:tab w:val="left" w:pos="450" w:leader="none"/>
        </w:tabs>
        <w:spacing w:lineRule="auto" w:line="360" w:before="57" w:after="57"/>
        <w:ind w:hanging="0" w:left="0" w:righ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20"/>
          <w:tab w:val="left" w:pos="450" w:leader="none"/>
        </w:tabs>
        <w:spacing w:lineRule="auto" w:line="360" w:before="57" w:after="57"/>
        <w:ind w:left="0" w:right="0"/>
        <w:jc w:val="both"/>
        <w:rPr>
          <w:rFonts w:ascii="Verdana" w:hAnsi="Verdana"/>
          <w:sz w:val="20"/>
          <w:szCs w:val="20"/>
        </w:rPr>
      </w:pPr>
      <w:r>
        <w:rPr>
          <w:rFonts w:ascii="Verdana" w:hAnsi="Verdana"/>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20"/>
          <w:tab w:val="left" w:pos="450" w:leader="none"/>
        </w:tabs>
        <w:spacing w:lineRule="auto" w:line="360" w:before="57" w:after="57"/>
        <w:ind w:hanging="0" w:left="0" w:right="0"/>
        <w:jc w:val="both"/>
        <w:rPr>
          <w:rFonts w:ascii="Verdana" w:hAnsi="Verdana"/>
          <w:sz w:val="20"/>
          <w:szCs w:val="20"/>
        </w:rPr>
      </w:pPr>
      <w:r>
        <w:rPr>
          <w:rFonts w:cs="Arial" w:ascii="Verdana" w:hAnsi="Verdana"/>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pPr>
        <w:pStyle w:val="Normal"/>
        <w:numPr>
          <w:ilvl w:val="2"/>
          <w:numId w:val="2"/>
        </w:numPr>
        <w:tabs>
          <w:tab w:val="clear" w:pos="720"/>
          <w:tab w:val="left" w:pos="617" w:leader="none"/>
          <w:tab w:val="left" w:pos="1083" w:leader="none"/>
        </w:tabs>
        <w:snapToGrid w:val="false"/>
        <w:spacing w:lineRule="auto" w:line="360" w:before="57" w:after="57"/>
        <w:ind w:hanging="0" w:left="0" w:right="0"/>
        <w:jc w:val="both"/>
        <w:rPr>
          <w:rFonts w:ascii="Verdana" w:hAnsi="Verdana"/>
          <w:sz w:val="20"/>
          <w:szCs w:val="20"/>
        </w:rPr>
      </w:pPr>
      <w:r>
        <w:rPr>
          <w:rFonts w:cs="Arial" w:ascii="Verdana" w:hAnsi="Verdana"/>
          <w:iCs/>
          <w:color w:val="000000"/>
          <w:sz w:val="20"/>
          <w:szCs w:val="20"/>
        </w:rPr>
        <w:t>Valor unitário e total do item;</w:t>
      </w:r>
    </w:p>
    <w:p>
      <w:pPr>
        <w:pStyle w:val="Normal"/>
        <w:tabs>
          <w:tab w:val="clear" w:pos="720"/>
          <w:tab w:val="left" w:pos="617" w:leader="none"/>
          <w:tab w:val="left" w:pos="1083" w:leader="none"/>
        </w:tabs>
        <w:snapToGrid w:val="false"/>
        <w:spacing w:lineRule="auto" w:line="360" w:before="57" w:after="57"/>
        <w:ind w:left="0" w:right="0"/>
        <w:jc w:val="both"/>
        <w:rPr>
          <w:rFonts w:ascii="Verdana" w:hAnsi="Verdana"/>
          <w:sz w:val="20"/>
          <w:szCs w:val="20"/>
        </w:rPr>
      </w:pPr>
      <w:r>
        <w:rPr>
          <w:rFonts w:cs="Arial" w:ascii="Verdana" w:hAnsi="Verdana"/>
          <w:iCs/>
          <w:color w:val="000000"/>
          <w:sz w:val="20"/>
          <w:szCs w:val="20"/>
        </w:rPr>
        <w:t xml:space="preserve">6.1.1.1 Serão admitidos no preço proposto a utilização de até </w:t>
      </w:r>
      <w:r>
        <w:rPr>
          <w:rFonts w:cs="Arial" w:ascii="Verdana" w:hAnsi="Verdana"/>
          <w:b/>
          <w:bCs/>
          <w:iCs/>
          <w:color w:val="000000"/>
          <w:sz w:val="20"/>
          <w:szCs w:val="20"/>
        </w:rPr>
        <w:t>02 (duas) casa decimais após a vírgula,</w:t>
      </w:r>
      <w:r>
        <w:rPr>
          <w:rFonts w:cs="Arial" w:ascii="Verdana" w:hAnsi="Verdana"/>
          <w:iCs/>
          <w:color w:val="000000"/>
          <w:sz w:val="20"/>
          <w:szCs w:val="20"/>
        </w:rPr>
        <w:t xml:space="preserve"> expressos em moeda nacional. </w:t>
      </w:r>
    </w:p>
    <w:p>
      <w:pPr>
        <w:pStyle w:val="Normal"/>
        <w:tabs>
          <w:tab w:val="clear" w:pos="720"/>
          <w:tab w:val="left" w:pos="617" w:leader="none"/>
          <w:tab w:val="left" w:pos="1440" w:leader="none"/>
        </w:tabs>
        <w:snapToGrid w:val="false"/>
        <w:spacing w:lineRule="auto" w:line="360" w:before="57" w:after="57"/>
        <w:ind w:left="0" w:right="0"/>
        <w:jc w:val="both"/>
        <w:rPr>
          <w:rFonts w:ascii="Verdana" w:hAnsi="Verdana"/>
          <w:sz w:val="20"/>
          <w:szCs w:val="20"/>
        </w:rPr>
      </w:pPr>
      <w:r>
        <w:rPr>
          <w:rFonts w:cs="Arial" w:ascii="Verdana" w:hAnsi="Verdana"/>
          <w:iCs/>
          <w:color w:val="000000"/>
          <w:sz w:val="20"/>
          <w:szCs w:val="20"/>
        </w:rPr>
        <w:t>6.1.2.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pPr>
        <w:pStyle w:val="Normal"/>
        <w:tabs>
          <w:tab w:val="clear" w:pos="720"/>
          <w:tab w:val="left" w:pos="617" w:leader="none"/>
          <w:tab w:val="left" w:pos="1083" w:leader="none"/>
        </w:tabs>
        <w:snapToGrid w:val="false"/>
        <w:spacing w:lineRule="auto" w:line="360" w:before="57" w:after="57"/>
        <w:ind w:left="0" w:right="0"/>
        <w:jc w:val="both"/>
        <w:rPr>
          <w:rFonts w:ascii="Verdana" w:hAnsi="Verdana"/>
          <w:sz w:val="20"/>
          <w:szCs w:val="20"/>
        </w:rPr>
      </w:pPr>
      <w:r>
        <w:rPr>
          <w:rFonts w:cs="Arial" w:ascii="Verdana" w:hAnsi="Verdana"/>
          <w:b/>
          <w:bCs/>
          <w:iCs/>
          <w:color w:val="000000"/>
          <w:sz w:val="20"/>
          <w:szCs w:val="20"/>
        </w:rPr>
        <w:t>6.2</w:t>
      </w:r>
      <w:r>
        <w:rPr>
          <w:rFonts w:cs="Arial" w:ascii="Verdana" w:hAnsi="Verdana"/>
          <w:bCs/>
          <w:iCs/>
          <w:color w:val="000000"/>
          <w:sz w:val="20"/>
          <w:szCs w:val="20"/>
        </w:rPr>
        <w:t>. Todas as especificações do objeto contidas na proposta vinculam a Contratada;</w:t>
      </w:r>
    </w:p>
    <w:p>
      <w:pPr>
        <w:pStyle w:val="Normal"/>
        <w:tabs>
          <w:tab w:val="clear" w:pos="720"/>
          <w:tab w:val="left" w:pos="617" w:leader="none"/>
          <w:tab w:val="left" w:pos="1083" w:leader="none"/>
        </w:tabs>
        <w:snapToGrid w:val="false"/>
        <w:spacing w:lineRule="auto" w:line="360" w:before="57" w:after="57"/>
        <w:ind w:left="0" w:right="0"/>
        <w:jc w:val="both"/>
        <w:rPr>
          <w:rFonts w:ascii="Verdana" w:hAnsi="Verdana"/>
          <w:sz w:val="20"/>
          <w:szCs w:val="20"/>
        </w:rPr>
      </w:pPr>
      <w:r>
        <w:rPr>
          <w:rFonts w:cs="Arial" w:ascii="Verdana" w:hAnsi="Verdana"/>
          <w:b/>
          <w:bCs/>
          <w:iCs/>
          <w:color w:val="000000"/>
          <w:sz w:val="20"/>
          <w:szCs w:val="20"/>
        </w:rPr>
        <w:t>6.3</w:t>
      </w:r>
      <w:r>
        <w:rPr>
          <w:rFonts w:cs="Arial" w:ascii="Verdana" w:hAnsi="Verdana"/>
          <w:bCs/>
          <w:iCs/>
          <w:color w:val="000000"/>
          <w:sz w:val="20"/>
          <w:szCs w:val="20"/>
        </w:rPr>
        <w:t xml:space="preserve">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pPr>
        <w:pStyle w:val="Normal"/>
        <w:tabs>
          <w:tab w:val="clear" w:pos="720"/>
          <w:tab w:val="left" w:pos="617" w:leader="none"/>
          <w:tab w:val="left" w:pos="733" w:leader="none"/>
          <w:tab w:val="left" w:pos="1467" w:leader="none"/>
        </w:tabs>
        <w:snapToGrid w:val="false"/>
        <w:spacing w:lineRule="auto" w:line="360" w:before="57" w:after="57"/>
        <w:ind w:left="0" w:right="0"/>
        <w:jc w:val="both"/>
        <w:rPr>
          <w:rFonts w:ascii="Verdana" w:hAnsi="Verdana"/>
          <w:sz w:val="20"/>
          <w:szCs w:val="20"/>
        </w:rPr>
      </w:pPr>
      <w:r>
        <w:rPr>
          <w:rFonts w:cs="Arial" w:ascii="Verdana" w:hAnsi="Verdana"/>
          <w:b/>
          <w:bCs/>
          <w:iCs/>
          <w:color w:val="000000"/>
          <w:sz w:val="20"/>
          <w:szCs w:val="20"/>
        </w:rPr>
        <w:t>6.4</w:t>
      </w:r>
      <w:r>
        <w:rPr>
          <w:rFonts w:cs="Arial" w:ascii="Verdana" w:hAnsi="Verdana"/>
          <w:bCs/>
          <w:iCs/>
          <w:color w:val="000000"/>
          <w:sz w:val="20"/>
          <w:szCs w:val="20"/>
        </w:rPr>
        <w:t>. Na presente licitação, a Microempresa e a Empresa de Pequeno Porte poderão se beneficiar do regime de tributação pelo Simples Nacional;</w:t>
      </w:r>
    </w:p>
    <w:p>
      <w:pPr>
        <w:pStyle w:val="Normal"/>
        <w:tabs>
          <w:tab w:val="clear" w:pos="720"/>
          <w:tab w:val="left" w:pos="617" w:leader="none"/>
          <w:tab w:val="left" w:pos="733" w:leader="none"/>
          <w:tab w:val="left" w:pos="1467" w:leader="none"/>
        </w:tabs>
        <w:snapToGrid w:val="false"/>
        <w:spacing w:lineRule="auto" w:line="360" w:before="57" w:after="57"/>
        <w:ind w:left="0" w:right="0"/>
        <w:jc w:val="both"/>
        <w:rPr>
          <w:rFonts w:ascii="Verdana" w:hAnsi="Verdana"/>
          <w:sz w:val="20"/>
          <w:szCs w:val="20"/>
        </w:rPr>
      </w:pPr>
      <w:r>
        <w:rPr>
          <w:rFonts w:cs="Arial" w:ascii="Verdana" w:hAnsi="Verdana"/>
          <w:b/>
          <w:bCs/>
          <w:iCs/>
          <w:color w:val="000000"/>
          <w:sz w:val="20"/>
          <w:szCs w:val="20"/>
        </w:rPr>
        <w:t>6.5</w:t>
      </w:r>
      <w:r>
        <w:rPr>
          <w:rFonts w:cs="Arial" w:ascii="Verdana" w:hAnsi="Verdana"/>
          <w:bCs/>
          <w:iCs/>
          <w:color w:val="000000"/>
          <w:sz w:val="20"/>
          <w:szCs w:val="20"/>
        </w:rPr>
        <w:t>.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tabs>
          <w:tab w:val="clear" w:pos="720"/>
          <w:tab w:val="left" w:pos="617" w:leader="none"/>
          <w:tab w:val="left" w:pos="733" w:leader="none"/>
          <w:tab w:val="left" w:pos="1467" w:leader="none"/>
        </w:tabs>
        <w:snapToGrid w:val="false"/>
        <w:spacing w:lineRule="auto" w:line="360" w:before="57" w:after="57"/>
        <w:ind w:left="0" w:right="0"/>
        <w:jc w:val="both"/>
        <w:rPr>
          <w:rFonts w:ascii="Verdana" w:hAnsi="Verdana"/>
          <w:sz w:val="20"/>
          <w:szCs w:val="20"/>
        </w:rPr>
      </w:pPr>
      <w:r>
        <w:rPr>
          <w:rFonts w:cs="Arial" w:ascii="Verdana" w:hAnsi="Verdana"/>
          <w:b/>
          <w:bCs/>
          <w:iCs/>
          <w:color w:val="000000"/>
          <w:sz w:val="20"/>
          <w:szCs w:val="20"/>
        </w:rPr>
        <w:t>6.6</w:t>
      </w:r>
      <w:r>
        <w:rPr>
          <w:rFonts w:cs="Arial" w:ascii="Verdana" w:hAnsi="Verdana"/>
          <w:bCs/>
          <w:iCs/>
          <w:color w:val="000000"/>
          <w:sz w:val="20"/>
          <w:szCs w:val="20"/>
        </w:rPr>
        <w:t>. Os preços ofertados, tanto na proposta inicial, quanto na etapa de lances, serão de exclusiva responsabilidade do licitante, não lhe assistindo o direito de pleitear qualquer alteração, sob alegação de erro, omissão ou qualquer outro pretexto;</w:t>
      </w:r>
    </w:p>
    <w:p>
      <w:pPr>
        <w:pStyle w:val="Normal"/>
        <w:tabs>
          <w:tab w:val="clear" w:pos="720"/>
          <w:tab w:val="left" w:pos="617" w:leader="none"/>
          <w:tab w:val="left" w:pos="733" w:leader="none"/>
          <w:tab w:val="left" w:pos="850" w:leader="none"/>
        </w:tabs>
        <w:snapToGrid w:val="false"/>
        <w:spacing w:lineRule="auto" w:line="360" w:before="57" w:after="57"/>
        <w:ind w:left="0" w:right="0"/>
        <w:jc w:val="both"/>
        <w:rPr>
          <w:rFonts w:ascii="Verdana" w:hAnsi="Verdana"/>
          <w:sz w:val="20"/>
          <w:szCs w:val="20"/>
        </w:rPr>
      </w:pPr>
      <w:r>
        <w:rPr>
          <w:rFonts w:cs="Arial" w:ascii="Verdana" w:hAnsi="Verdana"/>
          <w:b/>
          <w:bCs/>
          <w:iCs/>
          <w:color w:val="000000"/>
          <w:sz w:val="20"/>
          <w:szCs w:val="20"/>
        </w:rPr>
        <w:t>6.7</w:t>
      </w:r>
      <w:r>
        <w:rPr>
          <w:rFonts w:cs="Arial" w:ascii="Verdana" w:hAnsi="Verdana"/>
          <w:bCs/>
          <w:iCs/>
          <w:color w:val="000000"/>
          <w:sz w:val="20"/>
          <w:szCs w:val="20"/>
        </w:rPr>
        <w:t>. O prazo de validade da proposta não será inferior a 60 (sessenta) dias, a contar da data de sua apresentação;</w:t>
      </w:r>
    </w:p>
    <w:p>
      <w:pPr>
        <w:pStyle w:val="Normal"/>
        <w:tabs>
          <w:tab w:val="clear" w:pos="720"/>
          <w:tab w:val="left" w:pos="617" w:leader="none"/>
          <w:tab w:val="left" w:pos="733" w:leader="none"/>
          <w:tab w:val="left" w:pos="850" w:leader="none"/>
        </w:tabs>
        <w:snapToGrid w:val="false"/>
        <w:spacing w:lineRule="auto" w:line="360" w:before="57" w:after="57"/>
        <w:ind w:left="0" w:right="0"/>
        <w:jc w:val="both"/>
        <w:rPr>
          <w:rFonts w:ascii="Verdana" w:hAnsi="Verdana"/>
          <w:sz w:val="20"/>
          <w:szCs w:val="20"/>
        </w:rPr>
      </w:pPr>
      <w:r>
        <w:rPr>
          <w:rFonts w:cs="Arial" w:ascii="Verdana" w:hAnsi="Verdana"/>
          <w:b/>
          <w:bCs/>
          <w:iCs/>
          <w:color w:val="000000"/>
          <w:sz w:val="20"/>
          <w:szCs w:val="20"/>
        </w:rPr>
        <w:t>6.8</w:t>
      </w:r>
      <w:r>
        <w:rPr>
          <w:rFonts w:cs="Arial" w:ascii="Verdana" w:hAnsi="Verdana"/>
          <w:bCs/>
          <w:iCs/>
          <w:color w:val="000000"/>
          <w:sz w:val="20"/>
          <w:szCs w:val="20"/>
        </w:rPr>
        <w:t>.</w:t>
      </w:r>
      <w:r>
        <w:rPr>
          <w:rFonts w:cs="Arial" w:ascii="Verdana" w:hAnsi="Verdana"/>
          <w:color w:val="000000"/>
          <w:sz w:val="20"/>
          <w:szCs w:val="20"/>
        </w:rPr>
        <w:t xml:space="preserve">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vel2-Red"/>
        <w:numPr>
          <w:ilvl w:val="0"/>
          <w:numId w:val="0"/>
        </w:numPr>
        <w:spacing w:lineRule="auto" w:line="360" w:before="57" w:after="57"/>
        <w:ind w:hanging="0" w:left="0" w:right="0"/>
        <w:rPr>
          <w:rFonts w:ascii="Verdana" w:hAnsi="Verdana" w:eastAsia="Segoe UI" w:cs="Arial"/>
          <w:color w:val="000000"/>
          <w:sz w:val="20"/>
          <w:szCs w:val="20"/>
        </w:rPr>
      </w:pPr>
      <w:r>
        <w:rPr>
          <w:rFonts w:eastAsia="Segoe UI" w:cs="Arial" w:ascii="Verdana" w:hAnsi="Verdana"/>
          <w:color w:val="000000"/>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360" w:before="57" w:after="57"/>
        <w:ind w:hanging="0" w:left="0" w:righ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360" w:before="57" w:after="57"/>
        <w:ind w:left="0" w:right="0"/>
        <w:jc w:val="both"/>
        <w:rPr>
          <w:rFonts w:ascii="Verdana" w:hAnsi="Verdana"/>
          <w:sz w:val="20"/>
          <w:szCs w:val="20"/>
        </w:rPr>
      </w:pPr>
      <w:r>
        <w:rPr>
          <w:rFonts w:cs="Arial" w:ascii="Verdana" w:hAnsi="Verdana"/>
          <w:b/>
          <w:bCs/>
          <w:color w:val="000000"/>
          <w:sz w:val="20"/>
          <w:szCs w:val="20"/>
        </w:rPr>
        <w:t>7.4</w:t>
      </w:r>
      <w:r>
        <w:rPr>
          <w:rFonts w:cs="Arial" w:ascii="Verdana" w:hAnsi="Verdana"/>
          <w:color w:val="000000"/>
          <w:sz w:val="20"/>
          <w:szCs w:val="20"/>
        </w:rPr>
        <w:t xml:space="preserve"> O sistema ordenará automaticamente as propostas classificadas, sendo que somente estas participarão da fase de lances.</w:t>
      </w:r>
    </w:p>
    <w:p>
      <w:pPr>
        <w:pStyle w:val="Normal"/>
        <w:tabs>
          <w:tab w:val="clear" w:pos="720"/>
          <w:tab w:val="left" w:pos="683" w:leader="none"/>
        </w:tabs>
        <w:snapToGrid w:val="false"/>
        <w:spacing w:lineRule="auto" w:line="360" w:before="57" w:after="57"/>
        <w:ind w:left="0" w:right="0"/>
        <w:jc w:val="both"/>
        <w:rPr>
          <w:rFonts w:ascii="Verdana" w:hAnsi="Verdana"/>
          <w:sz w:val="20"/>
          <w:szCs w:val="20"/>
        </w:rPr>
      </w:pPr>
      <w:r>
        <w:rPr>
          <w:rFonts w:cs="Arial" w:ascii="Verdana" w:hAnsi="Verdana"/>
          <w:b/>
          <w:bCs/>
          <w:color w:val="000000"/>
          <w:sz w:val="20"/>
          <w:szCs w:val="20"/>
        </w:rPr>
        <w:t>7.5</w:t>
      </w:r>
      <w:r>
        <w:rPr>
          <w:rFonts w:cs="Arial" w:ascii="Verdana" w:hAnsi="Verdana"/>
          <w:color w:val="000000"/>
          <w:sz w:val="20"/>
          <w:szCs w:val="20"/>
        </w:rPr>
        <w:t xml:space="preserve"> O sistema disponibilizará campo próprio para troca de mensagens entre o Pregoeiro e os licitantes.</w:t>
      </w:r>
    </w:p>
    <w:p>
      <w:pPr>
        <w:pStyle w:val="Normal"/>
        <w:tabs>
          <w:tab w:val="clear" w:pos="720"/>
          <w:tab w:val="left" w:pos="683" w:leader="none"/>
        </w:tabs>
        <w:snapToGrid w:val="false"/>
        <w:spacing w:lineRule="auto" w:line="360" w:before="57" w:after="57"/>
        <w:ind w:left="0" w:right="0"/>
        <w:jc w:val="both"/>
        <w:rPr>
          <w:rFonts w:ascii="Verdana" w:hAnsi="Verdana"/>
          <w:sz w:val="20"/>
          <w:szCs w:val="20"/>
        </w:rPr>
      </w:pPr>
      <w:r>
        <w:rPr>
          <w:rFonts w:cs="Arial" w:ascii="Verdana" w:hAnsi="Verdana"/>
          <w:b/>
          <w:bCs/>
          <w:color w:val="000000"/>
          <w:sz w:val="20"/>
          <w:szCs w:val="20"/>
        </w:rPr>
        <w:t>7.6</w:t>
      </w:r>
      <w:r>
        <w:rPr>
          <w:rFonts w:cs="Arial" w:ascii="Verdana" w:hAnsi="Verdana"/>
          <w:color w:val="000000"/>
          <w:sz w:val="20"/>
          <w:szCs w:val="20"/>
        </w:rPr>
        <w:t xml:space="preserve">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360" w:before="57" w:after="57"/>
        <w:ind w:left="0" w:right="0"/>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7.7</w:t>
      </w:r>
      <w:r>
        <w:rPr>
          <w:rFonts w:cs="Arial" w:ascii="Verdana" w:hAnsi="Verdana"/>
          <w:sz w:val="20"/>
          <w:szCs w:val="20"/>
        </w:rPr>
        <w:t xml:space="preserve"> O licitante somente poderá oferecer lance de valor inferior ao último por ele ofertado e registrado pelo sistema.</w:t>
      </w:r>
    </w:p>
    <w:p>
      <w:pPr>
        <w:pStyle w:val="ListParagraph"/>
        <w:spacing w:lineRule="auto" w:line="360" w:before="57" w:after="57"/>
        <w:ind w:left="0" w:right="0"/>
        <w:contextualSpacing w:val="false"/>
        <w:jc w:val="both"/>
        <w:rPr>
          <w:rFonts w:ascii="Verdana" w:hAnsi="Verdana"/>
          <w:sz w:val="20"/>
          <w:szCs w:val="20"/>
        </w:rPr>
      </w:pPr>
      <w:r>
        <w:rPr>
          <w:rFonts w:ascii="Verdana" w:hAnsi="Verdana"/>
          <w:b/>
          <w:bCs/>
          <w:sz w:val="20"/>
          <w:szCs w:val="20"/>
        </w:rPr>
        <w:t>7.8</w:t>
      </w:r>
      <w:r>
        <w:rPr>
          <w:rFonts w:ascii="Verdana" w:hAnsi="Verdana"/>
          <w:sz w:val="20"/>
          <w:szCs w:val="20"/>
        </w:rPr>
        <w:t xml:space="preserve">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7.9</w:t>
      </w:r>
      <w:r>
        <w:rPr>
          <w:rFonts w:cs="Arial" w:ascii="Verdana" w:hAnsi="Verdana"/>
          <w:color w:val="000000"/>
          <w:sz w:val="20"/>
          <w:szCs w:val="20"/>
        </w:rPr>
        <w:t xml:space="preserve">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7.10</w:t>
      </w:r>
      <w:r>
        <w:rPr>
          <w:rFonts w:cs="Arial" w:ascii="Verdana" w:hAnsi="Verdana"/>
          <w:color w:val="000000"/>
          <w:sz w:val="20"/>
          <w:szCs w:val="20"/>
        </w:rPr>
        <w:t xml:space="preserve">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7.11</w:t>
      </w:r>
      <w:r>
        <w:rPr>
          <w:rFonts w:cs="Arial" w:ascii="Verdana" w:hAnsi="Verdana"/>
          <w:color w:val="000000"/>
          <w:sz w:val="20"/>
          <w:szCs w:val="20"/>
        </w:rPr>
        <w:t>. Encerrado o prazo previsto no item anterior, o sistema abrir</w:t>
      </w:r>
      <w:r>
        <w:rPr>
          <w:rFonts w:ascii="Verdana" w:hAnsi="Verdana"/>
          <w:sz w:val="20"/>
          <w:szCs w:val="20"/>
        </w:rPr>
        <w:t>á oportunidade para que o autor da oferta de valor mais baixo e os das ofertas com preços até dez por cento superiores àquela possam ofertar um lance final e fechado em até cinco minutos, o qual será sigiloso até o encerramento deste prazo.</w:t>
      </w:r>
    </w:p>
    <w:p>
      <w:pPr>
        <w:pStyle w:val="Normal"/>
        <w:spacing w:lineRule="auto" w:line="360" w:before="57" w:after="57"/>
        <w:ind w:left="0" w:right="0"/>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360" w:before="57" w:after="57"/>
        <w:ind w:left="0" w:right="0"/>
        <w:jc w:val="both"/>
        <w:rPr>
          <w:rFonts w:ascii="Verdana" w:hAnsi="Verdana"/>
          <w:sz w:val="20"/>
          <w:szCs w:val="20"/>
        </w:rPr>
      </w:pPr>
      <w:r>
        <w:rPr>
          <w:rFonts w:ascii="Verdana" w:hAnsi="Verdana"/>
          <w:b/>
          <w:bCs/>
          <w:sz w:val="20"/>
          <w:szCs w:val="20"/>
        </w:rPr>
        <w:t>7.12</w:t>
      </w:r>
      <w:r>
        <w:rPr>
          <w:rFonts w:ascii="Verdana" w:hAnsi="Verdana"/>
          <w:sz w:val="20"/>
          <w:szCs w:val="20"/>
        </w:rPr>
        <w:t>. Após o término dos prazos estabelecidos nos itens anteriores, o sistema ordenará os lances segundo a ordem crescente de valores.</w:t>
      </w:r>
    </w:p>
    <w:p>
      <w:pPr>
        <w:pStyle w:val="Normal"/>
        <w:spacing w:lineRule="auto" w:line="360" w:before="57" w:after="57"/>
        <w:ind w:left="0" w:right="0"/>
        <w:jc w:val="both"/>
        <w:rPr>
          <w:rFonts w:ascii="Verdana" w:hAnsi="Verdana"/>
          <w:sz w:val="20"/>
          <w:szCs w:val="20"/>
        </w:rPr>
      </w:pPr>
      <w:r>
        <w:rPr>
          <w:rFonts w:ascii="Verdana" w:hAnsi="Verdana"/>
          <w:sz w:val="20"/>
          <w:szCs w:val="20"/>
        </w:rPr>
        <w:t>7.12.1. Não havendo lance final e fechado classificado na forma estabelecida no lote,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360" w:before="57" w:after="57"/>
        <w:ind w:left="0" w:right="0"/>
        <w:jc w:val="both"/>
        <w:rPr>
          <w:rFonts w:ascii="Verdana" w:hAnsi="Verdana"/>
          <w:sz w:val="20"/>
          <w:szCs w:val="20"/>
        </w:rPr>
      </w:pPr>
      <w:r>
        <w:rPr>
          <w:rFonts w:ascii="Verdana" w:hAnsi="Verdana"/>
          <w:b/>
          <w:bCs/>
          <w:sz w:val="20"/>
          <w:szCs w:val="20"/>
        </w:rPr>
        <w:t>7.13</w:t>
      </w:r>
      <w:r>
        <w:rPr>
          <w:rFonts w:ascii="Verdana" w:hAnsi="Verdana"/>
          <w:sz w:val="20"/>
          <w:szCs w:val="20"/>
        </w:rPr>
        <w:t>. Poderá o(a) Pregoeiro(a), auxiliado pela Equipe de Apoio, justificadamente, admitir o reinício da etapa fechada, caso nenhum licitante classificado na etapa de lance fechado atender às exigências de habilitação.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7.14</w:t>
      </w:r>
      <w:r>
        <w:rPr>
          <w:rFonts w:cs="Arial" w:ascii="Verdana" w:hAnsi="Verdana"/>
          <w:color w:val="000000"/>
          <w:sz w:val="20"/>
          <w:szCs w:val="20"/>
        </w:rPr>
        <w:t xml:space="preserve"> Não serão aceitos dois ou mais lances de mesmo valor, prevalecendo aquele que for recebido e registrado em primeiro lugar.</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7.15</w:t>
      </w:r>
      <w:r>
        <w:rPr>
          <w:rFonts w:cs="Arial" w:ascii="Verdana" w:hAnsi="Verdana"/>
          <w:color w:val="000000"/>
          <w:sz w:val="20"/>
          <w:szCs w:val="20"/>
        </w:rPr>
        <w:t xml:space="preserve"> Durante o transcurso da sessão pública, os licitantes serão informados, em tempo real, do valor do menor lance registrado, vedada a identificação do licitante. </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7.16</w:t>
      </w:r>
      <w:r>
        <w:rPr>
          <w:rFonts w:cs="Arial" w:ascii="Verdana" w:hAnsi="Verdana"/>
          <w:color w:val="000000"/>
          <w:sz w:val="20"/>
          <w:szCs w:val="20"/>
        </w:rPr>
        <w:t xml:space="preserve"> No caso de desconexão com o Pregoeiro, no decorrer da etapa competitiva do Pregão, o sistema eletrônico poderá permanecer acessível aos licitantes para a recepção dos lances. </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7.17</w:t>
      </w:r>
      <w:r>
        <w:rPr>
          <w:rFonts w:cs="Arial" w:ascii="Verdana" w:hAnsi="Verdana"/>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7.18</w:t>
      </w:r>
      <w:r>
        <w:rPr>
          <w:rFonts w:cs="Arial" w:ascii="Verdana" w:hAnsi="Verdana"/>
          <w:color w:val="000000"/>
          <w:sz w:val="20"/>
          <w:szCs w:val="20"/>
        </w:rPr>
        <w:t xml:space="preserve"> O Critério de julgamento adotado será o menor preço, conforme definido neste Edital e seus anexos.</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7.19</w:t>
      </w:r>
      <w:r>
        <w:rPr>
          <w:rFonts w:cs="Arial" w:ascii="Verdana" w:hAnsi="Verdana"/>
          <w:color w:val="000000"/>
          <w:sz w:val="20"/>
          <w:szCs w:val="20"/>
        </w:rPr>
        <w:t xml:space="preserve"> Caso o licitante não apresente lances, concorrerá com o valor de sua proposta.</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7.20</w:t>
      </w:r>
      <w:r>
        <w:rPr>
          <w:rFonts w:cs="Arial" w:ascii="Verdana" w:hAnsi="Verdana"/>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7.21</w:t>
      </w:r>
      <w:r>
        <w:rPr>
          <w:rFonts w:cs="Arial" w:ascii="Verdana" w:hAnsi="Verdana"/>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7.22</w:t>
      </w:r>
      <w:r>
        <w:rPr>
          <w:rFonts w:cs="Arial" w:ascii="Verdana" w:hAnsi="Verdana"/>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7.23</w:t>
      </w:r>
      <w:r>
        <w:rPr>
          <w:rFonts w:cs="Arial" w:ascii="Verdana" w:hAnsi="Verdana"/>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7.24</w:t>
      </w:r>
      <w:r>
        <w:rPr>
          <w:rFonts w:cs="Arial" w:ascii="Verdana" w:hAnsi="Verdana"/>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7.25</w:t>
      </w:r>
      <w:r>
        <w:rPr>
          <w:rFonts w:cs="Arial" w:ascii="Verdana" w:hAnsi="Verdana"/>
          <w:color w:val="000000"/>
          <w:sz w:val="20"/>
          <w:szCs w:val="20"/>
        </w:rPr>
        <w:t xml:space="preserve"> Só poderá haver empate entre propostas iguais (não seguidas de lances), ou entre lances finais da fase fechada do modo de disputa aberto e fechado. </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7.26</w:t>
      </w:r>
      <w:r>
        <w:rPr>
          <w:rFonts w:cs="Arial" w:ascii="Verdana" w:hAnsi="Verdana"/>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pPr>
        <w:pStyle w:val="Normal"/>
        <w:spacing w:lineRule="auto" w:line="360" w:before="57" w:after="57"/>
        <w:ind w:left="0" w:right="0"/>
        <w:jc w:val="both"/>
        <w:rPr>
          <w:rFonts w:ascii="Verdana" w:hAnsi="Verdana"/>
          <w:sz w:val="20"/>
          <w:szCs w:val="20"/>
        </w:rPr>
      </w:pPr>
      <w:r>
        <w:rPr>
          <w:rFonts w:cs="Arial" w:ascii="Verdana" w:hAnsi="Verdana"/>
          <w:color w:val="000000"/>
          <w:sz w:val="20"/>
          <w:szCs w:val="20"/>
        </w:rPr>
        <w:t>7.26.1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360" w:before="57" w:after="57"/>
        <w:ind w:left="0" w:right="0"/>
        <w:jc w:val="both"/>
        <w:rPr>
          <w:rFonts w:ascii="Verdana" w:hAnsi="Verdana"/>
          <w:sz w:val="20"/>
          <w:szCs w:val="20"/>
        </w:rPr>
      </w:pPr>
      <w:r>
        <w:rPr>
          <w:rFonts w:cs="Arial" w:ascii="Verdana" w:hAnsi="Verdana"/>
          <w:color w:val="000000"/>
          <w:sz w:val="20"/>
          <w:szCs w:val="20"/>
          <w:lang w:eastAsia="en-US"/>
        </w:rPr>
        <w:t>7.26.2 No país;</w:t>
      </w:r>
    </w:p>
    <w:p>
      <w:pPr>
        <w:pStyle w:val="Normal"/>
        <w:spacing w:lineRule="auto" w:line="360" w:before="57" w:after="57"/>
        <w:ind w:left="0" w:right="0"/>
        <w:jc w:val="both"/>
        <w:rPr>
          <w:rFonts w:ascii="Verdana" w:hAnsi="Verdana"/>
          <w:sz w:val="20"/>
          <w:szCs w:val="20"/>
        </w:rPr>
      </w:pPr>
      <w:r>
        <w:rPr>
          <w:rFonts w:cs="Arial" w:ascii="Verdana" w:hAnsi="Verdana"/>
          <w:color w:val="000000"/>
          <w:sz w:val="20"/>
          <w:szCs w:val="20"/>
          <w:lang w:eastAsia="en-US"/>
        </w:rPr>
        <w:t>7.26.3 Por empresas brasileiras;</w:t>
      </w:r>
    </w:p>
    <w:p>
      <w:pPr>
        <w:pStyle w:val="Normal"/>
        <w:spacing w:lineRule="auto" w:line="360" w:before="57" w:after="57"/>
        <w:ind w:left="0" w:right="0"/>
        <w:jc w:val="both"/>
        <w:rPr>
          <w:rFonts w:ascii="Verdana" w:hAnsi="Verdana"/>
          <w:sz w:val="20"/>
          <w:szCs w:val="20"/>
        </w:rPr>
      </w:pPr>
      <w:r>
        <w:rPr>
          <w:rFonts w:cs="Arial" w:ascii="Verdana" w:hAnsi="Verdana"/>
          <w:color w:val="000000"/>
          <w:sz w:val="20"/>
          <w:szCs w:val="20"/>
          <w:lang w:eastAsia="en-US"/>
        </w:rPr>
        <w:t>7.26.4 Por empresas que invistam em pesquisa e no desenvolvimento de tecnologia no País;</w:t>
      </w:r>
    </w:p>
    <w:p>
      <w:pPr>
        <w:pStyle w:val="Normal"/>
        <w:spacing w:lineRule="auto" w:line="360" w:before="57" w:after="57"/>
        <w:ind w:left="0" w:right="0"/>
        <w:jc w:val="both"/>
        <w:rPr>
          <w:rFonts w:ascii="Verdana" w:hAnsi="Verdana"/>
          <w:sz w:val="20"/>
          <w:szCs w:val="20"/>
        </w:rPr>
      </w:pPr>
      <w:r>
        <w:rPr>
          <w:rFonts w:cs="Arial" w:ascii="Verdana" w:hAnsi="Verdana"/>
          <w:color w:val="000000"/>
          <w:sz w:val="20"/>
          <w:szCs w:val="20"/>
          <w:lang w:eastAsia="en-US"/>
        </w:rPr>
        <w:t>7.26.5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lang w:eastAsia="en-US"/>
        </w:rPr>
        <w:t>7.27</w:t>
      </w:r>
      <w:r>
        <w:rPr>
          <w:rFonts w:cs="Arial" w:ascii="Verdana" w:hAnsi="Verdana"/>
          <w:color w:val="000000"/>
          <w:sz w:val="20"/>
          <w:szCs w:val="20"/>
          <w:lang w:eastAsia="en-US"/>
        </w:rPr>
        <w:t xml:space="preserve">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7.28</w:t>
      </w:r>
      <w:r>
        <w:rPr>
          <w:rFonts w:cs="Arial" w:ascii="Verdana" w:hAnsi="Verdana"/>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20"/>
          <w:tab w:val="left" w:pos="-12" w:leader="none"/>
        </w:tabs>
        <w:spacing w:lineRule="auto" w:line="360" w:before="57" w:after="57"/>
        <w:ind w:left="0" w:right="0"/>
        <w:contextualSpacing w:val="false"/>
        <w:jc w:val="both"/>
        <w:rPr>
          <w:rFonts w:ascii="Verdana" w:hAnsi="Verdana"/>
          <w:sz w:val="20"/>
          <w:szCs w:val="20"/>
        </w:rPr>
      </w:pPr>
      <w:r>
        <w:rPr>
          <w:rFonts w:cs="Arial" w:ascii="Verdana" w:hAnsi="Verdana"/>
          <w:color w:val="000000"/>
          <w:sz w:val="20"/>
          <w:szCs w:val="20"/>
        </w:rPr>
        <w:t>7.28.2 O pregoeiro solicitará ao licitante melhor classificado que, no prazo de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7.29</w:t>
      </w:r>
      <w:r>
        <w:rPr>
          <w:rFonts w:cs="Arial" w:ascii="Verdana" w:hAnsi="Verdana"/>
          <w:color w:val="000000"/>
          <w:sz w:val="20"/>
          <w:szCs w:val="20"/>
        </w:rPr>
        <w:t xml:space="preserve"> Após a negociação do preço, o Pregoeiro iniciará a fase de aceitação e julgamento da proposta.</w:t>
      </w:r>
    </w:p>
    <w:p>
      <w:pPr>
        <w:pStyle w:val="ListParagraph"/>
        <w:tabs>
          <w:tab w:val="clear" w:pos="720"/>
          <w:tab w:val="left" w:pos="-12" w:leader="none"/>
        </w:tabs>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7.30</w:t>
      </w:r>
      <w:r>
        <w:rPr>
          <w:rFonts w:cs="Arial" w:ascii="Verdana" w:hAnsi="Verdana"/>
          <w:color w:val="000000"/>
          <w:sz w:val="20"/>
          <w:szCs w:val="20"/>
        </w:rPr>
        <w:t xml:space="preserve"> </w:t>
      </w:r>
      <w:r>
        <w:rPr>
          <w:rFonts w:ascii="Verdana" w:hAnsi="Verdana"/>
          <w:b/>
          <w:i/>
          <w:iCs/>
          <w:sz w:val="20"/>
          <w:szCs w:val="20"/>
          <w:highlight w:val="yellow"/>
          <w:u w:val="single"/>
        </w:rPr>
        <w:t>Caso houver divergência entre o item selecionado no catálogo do www.portaldecompraspublicas.com.br e as especificações contidas no Termo de Referência prevalecem as especificações do Termo de Referência, inclusive para fins de desclassificação.</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360" w:before="57" w:after="57"/>
        <w:ind w:hanging="0" w:left="0" w:righ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lang w:eastAsia="ar-SA"/>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numPr>
          <w:ilvl w:val="1"/>
          <w:numId w:val="2"/>
        </w:numPr>
        <w:tabs>
          <w:tab w:val="clear" w:pos="720"/>
          <w:tab w:val="left" w:pos="517" w:leader="none"/>
        </w:tabs>
        <w:spacing w:lineRule="auto" w:line="360" w:before="57" w:after="57"/>
        <w:ind w:hanging="0" w:left="0" w:right="0"/>
        <w:jc w:val="both"/>
        <w:rPr>
          <w:rFonts w:ascii="Verdana" w:hAnsi="Verdana"/>
          <w:sz w:val="20"/>
          <w:szCs w:val="20"/>
        </w:rPr>
      </w:pPr>
      <w:r>
        <w:rPr>
          <w:rFonts w:cs="Arial" w:ascii="Verdana" w:hAnsi="Verdana"/>
          <w:color w:val="000000"/>
          <w:sz w:val="20"/>
          <w:szCs w:val="20"/>
        </w:rPr>
        <w:t>Será desclassificada a proposta ou o lance vencedor, apresentar preço final superior ao preço máximo fixado (Acórdão no 1455/2018 – TCU – Plenário), ou que apresentar preço manifestamente inexequível.</w:t>
      </w:r>
    </w:p>
    <w:p>
      <w:pPr>
        <w:pStyle w:val="Normal"/>
        <w:numPr>
          <w:ilvl w:val="1"/>
          <w:numId w:val="2"/>
        </w:numPr>
        <w:tabs>
          <w:tab w:val="clear" w:pos="720"/>
          <w:tab w:val="left" w:pos="517" w:leader="none"/>
        </w:tabs>
        <w:spacing w:lineRule="auto" w:line="360" w:before="57" w:after="57"/>
        <w:ind w:hanging="0" w:left="0" w:right="0"/>
        <w:jc w:val="both"/>
        <w:rPr>
          <w:rFonts w:ascii="Verdana" w:hAnsi="Verdana"/>
          <w:sz w:val="20"/>
          <w:szCs w:val="20"/>
        </w:rPr>
      </w:pPr>
      <w:r>
        <w:rPr>
          <w:rFonts w:cs="Arial" w:ascii="Verdana" w:hAnsi="Verdana"/>
          <w:color w:val="000000"/>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a totalidade da remuneração.</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90"/>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90"/>
          <w:sz w:val="20"/>
          <w:u w:val="single"/>
          <w:szCs w:val="20"/>
          <w:rFonts w:cs="Arial" w:ascii="Verdana" w:hAnsi="Verdana"/>
          <w:color w:val="000080"/>
        </w:rPr>
        <w:fldChar w:fldCharType="separate"/>
      </w:r>
      <w:r>
        <w:rPr>
          <w:rStyle w:val="ListLabel190"/>
          <w:rFonts w:cs="Arial" w:ascii="Verdana" w:hAnsi="Verdana"/>
          <w:color w:val="000080"/>
          <w:sz w:val="20"/>
          <w:szCs w:val="20"/>
          <w:u w:val="single"/>
        </w:rPr>
        <w:t>artigo 29 a 35 da IN SEGES nº 73, de 30 de setembro de 2022</w:t>
      </w:r>
      <w:r>
        <w:rPr>
          <w:rStyle w:val="ListLabel190"/>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360" w:before="57" w:after="57"/>
        <w:ind w:hanging="0" w:left="0" w:righ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 xml:space="preserve">8.6.1 não estiver em conformidade com os requisitos estabelecidos neste edital;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8.6.2 contenha vício insanável ou ilegalidade;</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8.6.3 não apresente as especificações técnicas exigidas pelo Termo de Referência;</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 xml:space="preserve">8.6.4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 xml:space="preserve">8.6.4.1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 xml:space="preserve">8.6.4.1.1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 xml:space="preserve">8.6.4.1.2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 xml:space="preserve">8.6.4.2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b w:val="false"/>
          <w:bCs w:val="false"/>
          <w:sz w:val="20"/>
          <w:szCs w:val="20"/>
        </w:rPr>
        <w:t>8.6.4.3</w:t>
      </w:r>
      <w:r>
        <w:rPr>
          <w:rFonts w:ascii="Verdana" w:hAnsi="Verdana"/>
          <w:sz w:val="20"/>
          <w:szCs w:val="20"/>
        </w:rPr>
        <w:t xml:space="preserve"> É vedado à proponente incluir na Planilha de Custos e Formação de Preços:</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b w:val="false"/>
          <w:bCs w:val="false"/>
          <w:sz w:val="20"/>
          <w:szCs w:val="20"/>
        </w:rPr>
        <w:t>8.6.4.4</w:t>
      </w:r>
      <w:r>
        <w:rPr>
          <w:rFonts w:ascii="Verdana" w:hAnsi="Verdana"/>
          <w:sz w:val="20"/>
          <w:szCs w:val="20"/>
        </w:rPr>
        <w:t xml:space="preserve">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b w:val="false"/>
          <w:bCs w:val="false"/>
          <w:sz w:val="20"/>
          <w:szCs w:val="20"/>
        </w:rPr>
        <w:t>8.6.4.5</w:t>
      </w:r>
      <w:r>
        <w:rPr>
          <w:rFonts w:ascii="Verdana" w:hAnsi="Verdana"/>
          <w:sz w:val="20"/>
          <w:szCs w:val="20"/>
        </w:rPr>
        <w:t xml:space="preserve">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b w:val="false"/>
          <w:bCs w:val="false"/>
          <w:sz w:val="20"/>
          <w:szCs w:val="20"/>
        </w:rPr>
        <w:t>8.6.4.6</w:t>
      </w:r>
      <w:r>
        <w:rPr>
          <w:rFonts w:ascii="Verdana" w:hAnsi="Verdana"/>
          <w:sz w:val="20"/>
          <w:szCs w:val="20"/>
        </w:rPr>
        <w:t xml:space="preserve">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b w:val="false"/>
          <w:bCs w:val="false"/>
          <w:sz w:val="20"/>
          <w:szCs w:val="20"/>
        </w:rPr>
        <w:t>8.6.4.7</w:t>
      </w:r>
      <w:r>
        <w:rPr>
          <w:rFonts w:ascii="Verdana" w:hAnsi="Verdana"/>
          <w:sz w:val="20"/>
          <w:szCs w:val="20"/>
        </w:rPr>
        <w:t xml:space="preserve"> rubrica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b w:val="false"/>
          <w:bCs w:val="false"/>
          <w:sz w:val="20"/>
          <w:szCs w:val="20"/>
        </w:rPr>
        <w:t>8.6.4.8</w:t>
      </w:r>
      <w:r>
        <w:rPr>
          <w:rFonts w:ascii="Verdana" w:hAnsi="Verdana"/>
          <w:sz w:val="20"/>
          <w:szCs w:val="20"/>
        </w:rPr>
        <w:t xml:space="preserve"> rubrica para pagamento do Imposto de Renda Pessoa Jurídica – IRPJ e da Contribuição Social Sobre o Lucro Líquido – CSLL; </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b w:val="false"/>
          <w:bCs w:val="false"/>
          <w:sz w:val="20"/>
          <w:szCs w:val="20"/>
        </w:rPr>
        <w:t>8.6.4.9</w:t>
      </w:r>
      <w:r>
        <w:rPr>
          <w:rFonts w:ascii="Verdana" w:hAnsi="Verdana"/>
          <w:sz w:val="20"/>
          <w:szCs w:val="20"/>
        </w:rPr>
        <w:t xml:space="preserve"> rubrica denominada “verba” ou “verba provisional”, pois o item não está vinculado a qualquer contraprestação mensurável.</w:t>
      </w:r>
    </w:p>
    <w:p>
      <w:pPr>
        <w:pStyle w:val="Normal"/>
        <w:numPr>
          <w:ilvl w:val="1"/>
          <w:numId w:val="2"/>
        </w:numPr>
        <w:tabs>
          <w:tab w:val="clear" w:pos="720"/>
          <w:tab w:val="left" w:pos="517" w:leader="none"/>
        </w:tabs>
        <w:spacing w:lineRule="auto" w:line="360" w:before="57" w:after="57"/>
        <w:ind w:hanging="0" w:left="0" w:righ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360" w:before="57" w:after="57"/>
        <w:ind w:left="0" w:right="0"/>
        <w:jc w:val="both"/>
        <w:rPr>
          <w:rFonts w:ascii="Verdana" w:hAnsi="Verdana"/>
          <w:sz w:val="20"/>
          <w:szCs w:val="20"/>
        </w:rPr>
      </w:pPr>
      <w:r>
        <w:rPr>
          <w:rFonts w:ascii="Verdana" w:hAnsi="Verdana"/>
          <w:sz w:val="20"/>
          <w:szCs w:val="20"/>
        </w:rPr>
        <w:t>8.7.1 Na hipótese de contratação com a previsão de itens de custos vedados, tais valores serão glosados e os itens serão excluídos da Planilha, garantidas ampla defesa e contraditório.</w:t>
      </w:r>
    </w:p>
    <w:p>
      <w:pPr>
        <w:pStyle w:val="Normal"/>
        <w:numPr>
          <w:ilvl w:val="1"/>
          <w:numId w:val="2"/>
        </w:numPr>
        <w:tabs>
          <w:tab w:val="clear" w:pos="720"/>
          <w:tab w:val="left" w:pos="517" w:leader="none"/>
        </w:tabs>
        <w:spacing w:lineRule="auto" w:line="360" w:before="57" w:after="57"/>
        <w:ind w:hanging="0" w:left="0" w:righ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2"/>
        </w:numPr>
        <w:tabs>
          <w:tab w:val="clear" w:pos="720"/>
          <w:tab w:val="left" w:pos="517" w:leader="none"/>
        </w:tabs>
        <w:spacing w:lineRule="auto" w:line="360" w:before="57" w:after="57"/>
        <w:ind w:hanging="0" w:left="0" w:righ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2"/>
        </w:numPr>
        <w:tabs>
          <w:tab w:val="clear" w:pos="720"/>
          <w:tab w:val="left" w:pos="517" w:leader="none"/>
        </w:tabs>
        <w:spacing w:lineRule="auto" w:line="360" w:before="57" w:after="57"/>
        <w:ind w:hanging="0" w:left="0" w:right="0"/>
        <w:jc w:val="both"/>
        <w:rPr>
          <w:rFonts w:ascii="Verdana" w:hAnsi="Verdana"/>
          <w:sz w:val="20"/>
          <w:szCs w:val="20"/>
        </w:rPr>
      </w:pPr>
      <w:r>
        <w:rPr>
          <w:rFonts w:ascii="Verdana" w:hAnsi="Verdana"/>
          <w:sz w:val="20"/>
          <w:szCs w:val="20"/>
        </w:rPr>
        <w:t xml:space="preserve"> </w:t>
      </w: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360" w:before="57" w:after="57"/>
        <w:ind w:left="0" w:right="0"/>
        <w:jc w:val="both"/>
        <w:rPr/>
      </w:pPr>
      <w:r>
        <w:rPr>
          <w:rFonts w:ascii="Verdana" w:hAnsi="Verdana"/>
          <w:sz w:val="20"/>
          <w:szCs w:val="20"/>
        </w:rPr>
        <w:t xml:space="preserve">8.10.1 As propostas com preços próximos ou inferiores ao mínimo estabelecido pela Prefeitura Municipal de São Gabriel da Palha, disponibilizado em meio eletrônico, no </w:t>
      </w:r>
      <w:r>
        <w:rPr>
          <w:rFonts w:cs="Arial" w:ascii="Verdana" w:hAnsi="Verdana"/>
          <w:color w:val="000000"/>
          <w:sz w:val="20"/>
          <w:szCs w:val="20"/>
        </w:rPr>
        <w:t xml:space="preserve">Portal de Compras do Governo Federal – </w:t>
      </w:r>
      <w:hyperlink r:id="rId2">
        <w:r>
          <w:rPr>
            <w:rStyle w:val="Hyperlink"/>
            <w:rFonts w:cs="Arial" w:ascii="Verdana" w:hAnsi="Verdana"/>
            <w:color w:val="000000"/>
            <w:sz w:val="20"/>
            <w:szCs w:val="20"/>
          </w:rPr>
          <w:t>www.comprasgovernamentais.gov.br</w:t>
        </w:r>
      </w:hyperlink>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lang w:eastAsia="en-US"/>
        </w:rPr>
        <w:t xml:space="preserve"> </w:t>
      </w: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360" w:before="57" w:after="57"/>
        <w:ind w:left="0" w:right="0"/>
        <w:contextualSpacing w:val="false"/>
        <w:jc w:val="both"/>
        <w:rPr>
          <w:rFonts w:ascii="Verdana" w:hAnsi="Verdana"/>
          <w:sz w:val="20"/>
          <w:szCs w:val="20"/>
        </w:rPr>
      </w:pPr>
      <w:r>
        <w:rPr>
          <w:rFonts w:cs="Arial" w:ascii="Verdana" w:hAnsi="Verdana"/>
          <w:color w:val="000000"/>
          <w:sz w:val="20"/>
          <w:szCs w:val="20"/>
          <w:lang w:eastAsia="en-US"/>
        </w:rPr>
        <w:t>8.11.1.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lang w:eastAsia="en-US"/>
        </w:rPr>
        <w:t xml:space="preserve"> </w:t>
      </w: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360" w:before="57" w:after="57"/>
        <w:ind w:left="0" w:right="0"/>
        <w:contextualSpacing w:val="false"/>
        <w:jc w:val="both"/>
        <w:rPr>
          <w:rFonts w:ascii="Verdana" w:hAnsi="Verdana"/>
          <w:sz w:val="20"/>
          <w:szCs w:val="20"/>
        </w:rPr>
      </w:pPr>
      <w:r>
        <w:rPr>
          <w:rFonts w:cs="Arial" w:ascii="Verdana" w:hAnsi="Verdana"/>
          <w:color w:val="000000"/>
          <w:sz w:val="20"/>
          <w:szCs w:val="20"/>
          <w:lang w:eastAsia="en-US"/>
        </w:rPr>
        <w:t>8.12.1 É facultado ao pregoeiro prorrogar o prazo estabelecido, a partir de solicitação fundamentada feita no chat pelo licitante, antes de findo o prazo.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sz w:val="20"/>
          <w:szCs w:val="20"/>
          <w:lang w:eastAsia="en-US"/>
        </w:rPr>
        <w:t>8.121.2 Dentre os documentos passíveis de solicitação pelo Pregoeiro, destacam-se as planilhas de custo readequadas com o valor final ofertado.</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desclassificação da proposta. A planilha poderá́ ser ajustada pelo licitante, no prazo indicado pelo Pregoeiro, desde que não haja majoração do preço. </w:t>
      </w:r>
    </w:p>
    <w:p>
      <w:pPr>
        <w:pStyle w:val="Normal"/>
        <w:numPr>
          <w:ilvl w:val="2"/>
          <w:numId w:val="2"/>
        </w:numPr>
        <w:tabs>
          <w:tab w:val="clear" w:pos="720"/>
          <w:tab w:val="left" w:pos="683" w:leader="none"/>
          <w:tab w:val="left" w:pos="900" w:leader="none"/>
        </w:tabs>
        <w:snapToGrid w:val="false"/>
        <w:spacing w:lineRule="auto" w:line="360" w:before="57" w:after="57"/>
        <w:ind w:hanging="0" w:left="0" w:righ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2"/>
        </w:numPr>
        <w:tabs>
          <w:tab w:val="clear" w:pos="720"/>
          <w:tab w:val="left" w:pos="683" w:leader="none"/>
          <w:tab w:val="left" w:pos="900"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2"/>
        </w:numPr>
        <w:tabs>
          <w:tab w:val="clear" w:pos="720"/>
          <w:tab w:val="left" w:pos="683" w:leader="none"/>
          <w:tab w:val="left" w:pos="900"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360" w:before="57" w:after="57"/>
        <w:ind w:hanging="0" w:left="0" w:righ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360" w:before="57" w:after="57"/>
        <w:ind w:hanging="0" w:left="0" w:righ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360" w:before="57" w:after="57"/>
        <w:ind w:hanging="0" w:left="0" w:righ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360" w:before="57" w:after="57"/>
        <w:ind w:hanging="0" w:left="0" w:righ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360" w:before="57" w:after="57"/>
        <w:ind w:hanging="0" w:left="0" w:righ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numPr>
          <w:ilvl w:val="0"/>
          <w:numId w:val="4"/>
        </w:numPr>
        <w:spacing w:lineRule="auto" w:line="360" w:before="57" w:after="57"/>
        <w:contextualSpacing w:val="false"/>
        <w:jc w:val="both"/>
        <w:rPr>
          <w:rFonts w:ascii="Verdana" w:hAnsi="Verdana"/>
          <w:sz w:val="20"/>
          <w:szCs w:val="20"/>
        </w:rPr>
      </w:pPr>
      <w:r>
        <w:rPr>
          <w:rFonts w:cs="Arial" w:ascii="Verdana" w:hAnsi="Verdana"/>
          <w:sz w:val="20"/>
          <w:szCs w:val="20"/>
          <w:lang w:eastAsia="ar-SA"/>
        </w:rPr>
        <w:t>SICAF;</w:t>
      </w:r>
    </w:p>
    <w:p>
      <w:pPr>
        <w:pStyle w:val="ListParagraph"/>
        <w:numPr>
          <w:ilvl w:val="0"/>
          <w:numId w:val="4"/>
        </w:numPr>
        <w:spacing w:lineRule="auto" w:line="360" w:before="57" w:after="57"/>
        <w:contextualSpacing w:val="false"/>
        <w:jc w:val="both"/>
        <w:rPr/>
      </w:pPr>
      <w:r>
        <w:rPr>
          <w:rFonts w:cs="Arial" w:ascii="Verdana" w:hAnsi="Verdana"/>
          <w:sz w:val="20"/>
          <w:szCs w:val="20"/>
          <w:lang w:eastAsia="ar-SA"/>
        </w:rPr>
        <w:t>Cadastro Nacional de Empresas Inidôneas e Suspensas – CEIS, mantido pela Controladoria-Geral da União (</w:t>
      </w:r>
      <w:hyperlink r:id="rId3">
        <w:r>
          <w:rPr>
            <w:rStyle w:val="Hyperlink"/>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numPr>
          <w:ilvl w:val="0"/>
          <w:numId w:val="4"/>
        </w:numPr>
        <w:spacing w:lineRule="auto" w:line="360" w:before="57" w:after="57"/>
        <w:contextualSpacing w:val="false"/>
        <w:jc w:val="both"/>
        <w:rPr/>
      </w:pPr>
      <w:r>
        <w:rPr>
          <w:rFonts w:cs="Arial" w:ascii="Verdana" w:hAnsi="Verdana"/>
          <w:sz w:val="20"/>
          <w:szCs w:val="20"/>
          <w:lang w:eastAsia="ar-SA"/>
        </w:rPr>
        <w:t>Cadastro Nacional de Condenações Cíveis por Atos de Improbidade Administrativa, mantido pelo Conselho Nacional de Justiça (</w:t>
      </w:r>
      <w:hyperlink r:id="rId4">
        <w:r>
          <w:rPr>
            <w:rStyle w:val="Hyperlink"/>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numPr>
          <w:ilvl w:val="0"/>
          <w:numId w:val="4"/>
        </w:numPr>
        <w:spacing w:lineRule="auto" w:line="360" w:before="57" w:after="57"/>
        <w:contextualSpacing w:val="false"/>
        <w:jc w:val="both"/>
        <w:rPr/>
      </w:pPr>
      <w:r>
        <w:rPr>
          <w:rFonts w:cs="Arial" w:ascii="Verdana" w:hAnsi="Verdana"/>
          <w:sz w:val="20"/>
          <w:szCs w:val="20"/>
          <w:lang w:eastAsia="ar-SA"/>
        </w:rPr>
        <w:t>Cadastro de Inidôneos e o Cadastro Integrado de Condenações por Ilícitos Administrativos – CADICON, mantidos pelo Tribunal de Contas da União – TCU;</w:t>
      </w:r>
    </w:p>
    <w:p>
      <w:pPr>
        <w:pStyle w:val="Normal"/>
        <w:numPr>
          <w:ilvl w:val="0"/>
          <w:numId w:val="4"/>
        </w:numPr>
        <w:spacing w:lineRule="auto" w:line="360" w:before="57" w:after="57"/>
        <w:jc w:val="both"/>
        <w:rPr/>
      </w:pPr>
      <w:r>
        <w:rPr>
          <w:rFonts w:cs="Arial" w:ascii="Verdana" w:hAnsi="Verdana"/>
          <w:sz w:val="20"/>
          <w:szCs w:val="20"/>
          <w:lang w:eastAsia="ar-SA"/>
        </w:rPr>
        <w:t>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1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360" w:before="57" w:after="57"/>
        <w:ind w:left="0" w:right="0"/>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19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360" w:before="57" w:after="57"/>
        <w:ind w:left="0" w:right="0"/>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360" w:before="57" w:after="57"/>
        <w:ind w:left="0" w:right="0"/>
        <w:contextualSpacing w:val="false"/>
        <w:jc w:val="both"/>
        <w:rPr>
          <w:rFonts w:ascii="Verdana" w:hAnsi="Verdana"/>
          <w:sz w:val="20"/>
          <w:szCs w:val="20"/>
        </w:rPr>
      </w:pPr>
      <w:r>
        <w:rPr>
          <w:rFonts w:cs="Arial" w:ascii="Verdana" w:hAnsi="Verdana"/>
          <w:bCs/>
          <w:color w:val="000000"/>
          <w:sz w:val="20"/>
          <w:szCs w:val="20"/>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360" w:before="57" w:after="57"/>
        <w:ind w:left="0" w:righ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360" w:before="57" w:after="57"/>
        <w:ind w:left="0" w:righ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20"/>
          <w:tab w:val="left" w:pos="567" w:leader="none"/>
        </w:tabs>
        <w:spacing w:lineRule="auto" w:line="360" w:before="57" w:after="57"/>
        <w:ind w:hanging="0" w:left="0" w:righ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tabs>
          <w:tab w:val="clear" w:pos="720"/>
          <w:tab w:val="left" w:pos="567" w:leader="none"/>
        </w:tabs>
        <w:spacing w:lineRule="auto" w:line="360" w:before="57" w:after="57"/>
        <w:ind w:hanging="0" w:left="0" w:right="0"/>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2"/>
        </w:numPr>
        <w:tabs>
          <w:tab w:val="clear" w:pos="720"/>
          <w:tab w:val="left" w:pos="567" w:leader="none"/>
        </w:tabs>
        <w:spacing w:lineRule="auto" w:line="360" w:before="57" w:after="57"/>
        <w:ind w:hanging="0" w:left="0" w:right="0"/>
        <w:rPr>
          <w:rFonts w:ascii="Verdana" w:hAnsi="Verdana"/>
          <w:sz w:val="20"/>
          <w:szCs w:val="20"/>
        </w:rPr>
      </w:pPr>
      <w:r>
        <w:rPr>
          <w:rFonts w:cs="Arial" w:ascii="Verdana" w:hAnsi="Verdana"/>
          <w:sz w:val="20"/>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tabs>
          <w:tab w:val="clear" w:pos="720"/>
          <w:tab w:val="left" w:pos="567" w:leader="none"/>
        </w:tabs>
        <w:spacing w:lineRule="auto" w:line="360" w:before="57" w:after="57"/>
        <w:ind w:hanging="0" w:left="0" w:right="0"/>
        <w:rPr>
          <w:rFonts w:ascii="Verdana" w:hAnsi="Verdana"/>
          <w:sz w:val="20"/>
          <w:szCs w:val="20"/>
        </w:rPr>
      </w:pPr>
      <w:r>
        <w:rPr>
          <w:rFonts w:cs="Arial" w:ascii="Verdana" w:hAnsi="Verdana"/>
          <w:sz w:val="20"/>
          <w:szCs w:val="20"/>
        </w:rPr>
        <w:t>Não serão aceitos documentos de habilitação com indicação de CNPJ/CPF diferentes, salvo aqueles legalmente permitidos.</w:t>
      </w:r>
    </w:p>
    <w:p>
      <w:pPr>
        <w:pStyle w:val="PADRO"/>
        <w:widowControl/>
        <w:numPr>
          <w:ilvl w:val="1"/>
          <w:numId w:val="2"/>
        </w:numPr>
        <w:tabs>
          <w:tab w:val="clear" w:pos="720"/>
          <w:tab w:val="left" w:pos="567" w:leader="none"/>
        </w:tabs>
        <w:spacing w:lineRule="auto" w:line="360" w:before="57" w:after="57"/>
        <w:ind w:hanging="0" w:left="0" w:right="0"/>
        <w:rPr>
          <w:rFonts w:ascii="Verdana" w:hAnsi="Verdana"/>
          <w:sz w:val="20"/>
          <w:szCs w:val="20"/>
        </w:rPr>
      </w:pPr>
      <w:r>
        <w:rPr>
          <w:rFonts w:cs="Arial" w:ascii="Verdana" w:hAnsi="Verdana"/>
          <w:sz w:val="20"/>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tabs>
          <w:tab w:val="clear" w:pos="720"/>
          <w:tab w:val="left" w:pos="567" w:leader="none"/>
        </w:tabs>
        <w:spacing w:lineRule="auto" w:line="360" w:before="57" w:after="57"/>
        <w:ind w:hanging="0" w:left="0" w:right="0"/>
        <w:rPr>
          <w:rFonts w:ascii="Verdana" w:hAnsi="Verdana"/>
          <w:sz w:val="20"/>
          <w:szCs w:val="20"/>
        </w:rPr>
      </w:pPr>
      <w:r>
        <w:rPr>
          <w:rFonts w:cs="Arial" w:ascii="Verdana" w:hAnsi="Verdana"/>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360" w:before="57" w:after="57"/>
        <w:ind w:hanging="0" w:left="0" w:righ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1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360" w:before="57" w:after="57"/>
        <w:ind w:hanging="0" w:left="0" w:righ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360" w:before="57" w:after="57"/>
        <w:ind w:hanging="0" w:left="0" w:righ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360" w:before="57" w:after="57"/>
        <w:ind w:hanging="0" w:left="0" w:righ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360" w:before="57" w:after="57"/>
        <w:ind w:hanging="0" w:left="0" w:righ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360" w:before="57" w:after="57"/>
        <w:ind w:hanging="0" w:left="0" w:righ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360" w:before="57" w:after="57"/>
        <w:ind w:hanging="0" w:left="0" w:righ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20"/>
          <w:tab w:val="left" w:pos="850"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20"/>
          <w:tab w:val="left" w:pos="850"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20"/>
          <w:tab w:val="left" w:pos="850" w:leader="none"/>
        </w:tabs>
        <w:snapToGrid w:val="false"/>
        <w:spacing w:lineRule="auto" w:line="360" w:before="57" w:after="57"/>
        <w:ind w:hanging="0" w:left="0" w:righ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20"/>
          <w:tab w:val="left" w:pos="850"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20"/>
          <w:tab w:val="left" w:pos="617" w:leader="none"/>
        </w:tabs>
        <w:snapToGrid w:val="false"/>
        <w:spacing w:lineRule="auto" w:line="360" w:before="57" w:after="57"/>
        <w:ind w:hanging="0" w:left="0" w:righ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20"/>
          <w:tab w:val="left" w:pos="617" w:leader="none"/>
        </w:tabs>
        <w:snapToGrid w:val="false"/>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20"/>
          <w:tab w:val="left" w:pos="850" w:leader="none"/>
        </w:tabs>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bCs/>
          <w:sz w:val="20"/>
          <w:szCs w:val="20"/>
        </w:rPr>
        <w:t xml:space="preserve"> </w:t>
      </w: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 xml:space="preserve"> </w:t>
      </w: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20"/>
          <w:tab w:val="left" w:pos="517" w:leader="none"/>
        </w:tabs>
        <w:spacing w:lineRule="auto" w:line="360" w:before="57" w:after="57"/>
        <w:ind w:hanging="0" w:left="0" w:right="0"/>
        <w:contextualSpacing w:val="false"/>
        <w:jc w:val="both"/>
        <w:rPr>
          <w:rFonts w:ascii="Verdana" w:hAnsi="Verdana"/>
          <w:sz w:val="20"/>
          <w:szCs w:val="20"/>
        </w:rPr>
      </w:pPr>
      <w:r>
        <w:rPr>
          <w:rFonts w:cs="Arial" w:ascii="Verdana" w:hAnsi="Verdana"/>
          <w:bCs/>
          <w:color w:val="000000"/>
          <w:sz w:val="20"/>
          <w:szCs w:val="20"/>
        </w:rPr>
        <w:t xml:space="preserve"> </w:t>
      </w:r>
      <w:r>
        <w:rPr>
          <w:rFonts w:cs="Arial" w:ascii="Verdana" w:hAnsi="Verdana"/>
          <w:bCs/>
          <w:color w:val="000000"/>
          <w:sz w:val="20"/>
          <w:szCs w:val="20"/>
        </w:rPr>
        <w:t>Constatado o atendimento às exigências de habilitação fixadas no Edital, o licitante será declarado vencedor.</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20"/>
          <w:tab w:val="left" w:pos="617" w:leader="none"/>
        </w:tabs>
        <w:spacing w:lineRule="auto" w:line="360" w:before="57" w:after="57"/>
        <w:ind w:hanging="0" w:left="0" w:right="0"/>
        <w:contextualSpacing w:val="false"/>
        <w:jc w:val="both"/>
        <w:rPr>
          <w:rFonts w:ascii="Verdana" w:hAnsi="Verdana"/>
          <w:sz w:val="20"/>
          <w:szCs w:val="20"/>
        </w:rPr>
      </w:pPr>
      <w:r>
        <w:rPr>
          <w:rFonts w:cs="Arial" w:ascii="Verdana" w:hAnsi="Verdana"/>
          <w:iCs/>
          <w:sz w:val="20"/>
          <w:szCs w:val="20"/>
        </w:rPr>
        <w:t>A proposta final do licitante declarado vencedor deverá ser encaminhada no prazo de 02h00min (duas horas),</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20"/>
          <w:tab w:val="left" w:pos="617" w:leader="none"/>
          <w:tab w:val="left" w:pos="900" w:leader="none"/>
        </w:tabs>
        <w:spacing w:lineRule="auto" w:line="360" w:before="57" w:after="57"/>
        <w:ind w:hanging="0" w:left="0" w:righ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20"/>
          <w:tab w:val="left" w:pos="617" w:leader="none"/>
          <w:tab w:val="left" w:pos="900" w:leader="none"/>
        </w:tabs>
        <w:spacing w:lineRule="auto" w:line="360" w:before="57" w:after="57"/>
        <w:ind w:hanging="0" w:left="0" w:righ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20"/>
          <w:tab w:val="left" w:pos="617" w:leader="none"/>
          <w:tab w:val="left" w:pos="900" w:leader="none"/>
        </w:tabs>
        <w:spacing w:lineRule="auto" w:line="360" w:before="57" w:after="57"/>
        <w:ind w:hanging="0" w:left="0" w:righ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20"/>
          <w:tab w:val="left" w:pos="850" w:leader="none"/>
        </w:tabs>
        <w:spacing w:lineRule="auto" w:line="360" w:before="57" w:after="57"/>
        <w:ind w:hanging="0" w:left="0" w:righ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20"/>
          <w:tab w:val="left" w:pos="850" w:leader="none"/>
        </w:tabs>
        <w:spacing w:lineRule="auto" w:line="360" w:before="57" w:after="57"/>
        <w:ind w:hanging="0" w:left="0" w:righ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20"/>
          <w:tab w:val="left" w:pos="850" w:leader="none"/>
        </w:tabs>
        <w:snapToGrid w:val="false"/>
        <w:spacing w:lineRule="auto" w:line="360" w:before="57" w:after="57"/>
        <w:ind w:hanging="0" w:left="0" w:righ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20"/>
          <w:tab w:val="left" w:pos="850" w:leader="none"/>
        </w:tabs>
        <w:snapToGrid w:val="false"/>
        <w:spacing w:lineRule="auto" w:line="360" w:before="57" w:after="57"/>
        <w:ind w:hanging="0" w:left="0" w:righ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20"/>
          <w:tab w:val="left" w:pos="850" w:leader="none"/>
        </w:tabs>
        <w:snapToGrid w:val="false"/>
        <w:spacing w:lineRule="auto" w:line="360" w:before="57" w:after="57"/>
        <w:ind w:hanging="0" w:left="0" w:righ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360" w:before="57" w:after="57"/>
        <w:ind w:hanging="0" w:left="0" w:righ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360" w:before="57" w:after="57"/>
        <w:ind w:hanging="0" w:left="0" w:righ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360" w:before="57" w:after="57"/>
        <w:ind w:hanging="0" w:left="0" w:righ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360" w:before="57" w:after="57"/>
        <w:ind w:hanging="0" w:left="0" w:righ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360" w:before="57" w:after="57"/>
        <w:ind w:hanging="0" w:left="0" w:righ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360" w:before="57" w:after="57"/>
        <w:ind w:hanging="0" w:left="0" w:righ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numPr>
          <w:ilvl w:val="0"/>
          <w:numId w:val="2"/>
        </w:numPr>
        <w:spacing w:lineRule="auto" w:line="360" w:before="57" w:after="57"/>
        <w:ind w:hanging="0" w:left="0" w:righ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360" w:before="57" w:after="57"/>
        <w:ind w:hanging="0" w:left="0" w:righ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14 DO TERMO DE CONTRATO</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 xml:space="preserve">14.1 </w:t>
      </w:r>
      <w:r>
        <w:rPr>
          <w:rFonts w:cs="Arial" w:ascii="Verdana" w:hAnsi="Verdana"/>
          <w:bCs/>
          <w:sz w:val="20"/>
          <w:szCs w:val="20"/>
        </w:rPr>
        <w:t>Após a homologação da licitação, em sendo realizada a contratação, será firmado Termo de Contrato ou emitido instrumento equivalente.</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 xml:space="preserve">14.2 </w:t>
      </w:r>
      <w:r>
        <w:rPr>
          <w:rFonts w:cs="Arial" w:ascii="Verdana" w:hAnsi="Verdana"/>
          <w:iCs/>
          <w:sz w:val="20"/>
          <w:szCs w:val="20"/>
        </w:rPr>
        <w:t>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iCs/>
          <w:sz w:val="20"/>
          <w:szCs w:val="20"/>
        </w:rPr>
        <w:t>14.2.1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10 (dez) dias, a contar da data de seu recebimento.</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iCs/>
          <w:sz w:val="20"/>
          <w:szCs w:val="20"/>
        </w:rPr>
        <w:t>14.2.2 O prazo previsto no subitem anterior poderá ser prorrogado, por igual período, por solicitação justificada do adjudicatário e aceita pela Administração.</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
          <w:bCs/>
          <w:iCs/>
          <w:sz w:val="20"/>
          <w:szCs w:val="20"/>
        </w:rPr>
        <w:t xml:space="preserve">14.3 </w:t>
      </w:r>
      <w:r>
        <w:rPr>
          <w:rFonts w:cs="Arial" w:ascii="Verdana" w:hAnsi="Verdana"/>
          <w:bCs/>
          <w:iCs/>
          <w:sz w:val="20"/>
          <w:szCs w:val="20"/>
        </w:rPr>
        <w:t>O Aceite da Nota de Empenho ou do instrumento equivalente, emitida à empresa adjudicada, implica no reconhecimento de que:</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Cs/>
          <w:iCs/>
          <w:sz w:val="20"/>
          <w:szCs w:val="20"/>
        </w:rPr>
        <w:t>14.3.1 Referida Nota está substituindo o contrato, aplicando-se à relação de negócios ali estabelecida as disposições da Lei nº 14.133, de 2021;</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Cs/>
          <w:iCs/>
          <w:sz w:val="20"/>
          <w:szCs w:val="20"/>
        </w:rPr>
        <w:t>14.3.2 A contratada se vincula à sua proposta e às previsões contidas no edital e seus anexos;</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Cs/>
          <w:iCs/>
          <w:sz w:val="20"/>
          <w:szCs w:val="20"/>
        </w:rPr>
        <w:t xml:space="preserve">14.3.3 A contratada reconhece que as hipóteses de rescisão são aquelas previstas nos artigos 137, 155, 156 da Lei nº 14.133/2021 e reconhece os direitos da Administração previstos nos artigos 138 e 139 da mesma Lei. </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 xml:space="preserve">14.4 </w:t>
      </w:r>
      <w:r>
        <w:rPr>
          <w:rFonts w:cs="Arial" w:ascii="Verdana" w:hAnsi="Verdana"/>
          <w:bCs/>
          <w:sz w:val="20"/>
          <w:szCs w:val="20"/>
        </w:rPr>
        <w:t>O prazo de vigência da contratação é de 12 (doze) meses, prorrogável conforme previsão no instrumento contratual.</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14.5</w:t>
      </w:r>
      <w:r>
        <w:rPr>
          <w:rFonts w:cs="Arial" w:ascii="Verdana" w:hAnsi="Verdana"/>
          <w:sz w:val="20"/>
          <w:szCs w:val="20"/>
        </w:rPr>
        <w:t xml:space="preserve"> 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sz w:val="20"/>
          <w:szCs w:val="20"/>
        </w:rPr>
        <w:t>14.5.1 Nos casos em que houver necessidade de assinatura do instrumento de contrato, e o fornecedor não estiver inscrito no SICAF, este deverá proceder ao seu cadastramento, sem ônus, antes da contratação.</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sz w:val="20"/>
          <w:szCs w:val="20"/>
        </w:rPr>
        <w:t>14.5.2 Na hipótese de irregularidade do registro no SICAF, o contratado deverá regularizar a sua situação perante o cadastro no prazo de até 05 (cinco) dias úteis, sob pena de aplicação das penalidades previstas no edital e anexos.</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14.6</w:t>
      </w:r>
      <w:r>
        <w:rPr>
          <w:rFonts w:cs="Arial" w:ascii="Verdana" w:hAnsi="Verdana"/>
          <w:sz w:val="20"/>
          <w:szCs w:val="20"/>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pPr>
        <w:pStyle w:val="ListParagraph"/>
        <w:tabs>
          <w:tab w:val="clear" w:pos="720"/>
          <w:tab w:val="left" w:pos="850" w:leader="none"/>
        </w:tabs>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14.7</w:t>
      </w:r>
      <w:r>
        <w:rPr>
          <w:rFonts w:cs="Arial" w:ascii="Verdana" w:hAnsi="Verdana"/>
          <w:sz w:val="20"/>
          <w:szCs w:val="20"/>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spacing w:lineRule="auto" w:line="360" w:before="57" w:after="57"/>
        <w:ind w:left="0" w:right="0"/>
        <w:rPr>
          <w:rFonts w:ascii="Verdana" w:hAnsi="Verdana"/>
          <w:sz w:val="20"/>
          <w:szCs w:val="20"/>
        </w:rPr>
      </w:pPr>
      <w:r>
        <w:rPr>
          <w:rFonts w:cs="Arial" w:ascii="Verdana" w:hAnsi="Verdana"/>
          <w:sz w:val="20"/>
          <w:szCs w:val="20"/>
        </w:rPr>
        <w:t>15. DO REAJUSTAMENTO EM SENTIDO GERAL</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15.1</w:t>
      </w:r>
      <w:r>
        <w:rPr>
          <w:rFonts w:cs="Arial" w:ascii="Verdana" w:hAnsi="Verdana"/>
          <w:color w:val="000000"/>
          <w:sz w:val="20"/>
          <w:szCs w:val="20"/>
        </w:rPr>
        <w:t xml:space="preserve">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spacing w:lineRule="auto" w:line="360" w:before="57" w:after="57"/>
        <w:ind w:left="0" w:right="0"/>
        <w:rPr>
          <w:rFonts w:ascii="Verdana" w:hAnsi="Verdana"/>
          <w:sz w:val="20"/>
          <w:szCs w:val="20"/>
        </w:rPr>
      </w:pPr>
      <w:r>
        <w:rPr>
          <w:rFonts w:cs="Arial" w:ascii="Verdana" w:hAnsi="Verdana"/>
          <w:sz w:val="20"/>
          <w:szCs w:val="20"/>
        </w:rPr>
        <w:t>16. DA ACEITAÇÃO DO OBJETO E DA FISCALIZAÇÃO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lang w:eastAsia="en-US"/>
        </w:rPr>
        <w:t>16.1</w:t>
      </w:r>
      <w:r>
        <w:rPr>
          <w:rFonts w:cs="Arial" w:ascii="Verdana" w:hAnsi="Verdana"/>
          <w:color w:val="000000"/>
          <w:sz w:val="20"/>
          <w:szCs w:val="20"/>
          <w:lang w:eastAsia="en-US"/>
        </w:rPr>
        <w:t xml:space="preserve"> Os critérios de recebimento e aceitação do objeto e de fiscalização estão previstos no Termo de Referência e Minuta de Contrato anexo a este edital.</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spacing w:lineRule="auto" w:line="360" w:before="57" w:after="57"/>
        <w:ind w:left="0" w:right="0"/>
        <w:rPr>
          <w:rFonts w:ascii="Verdana" w:hAnsi="Verdana"/>
          <w:sz w:val="20"/>
          <w:szCs w:val="20"/>
        </w:rPr>
      </w:pPr>
      <w:r>
        <w:rPr>
          <w:rFonts w:cs="Arial" w:ascii="Verdana" w:hAnsi="Verdana"/>
          <w:sz w:val="20"/>
          <w:szCs w:val="20"/>
          <w:lang w:eastAsia="en-US"/>
        </w:rPr>
        <w:t>17. DAS OBRIGAÇÕES DA CONTRATANTE E DA CONTRATADA</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lang w:eastAsia="en-US"/>
        </w:rPr>
        <w:t xml:space="preserve">17.1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spacing w:lineRule="auto" w:line="360" w:before="57" w:after="57"/>
        <w:ind w:left="0" w:right="0"/>
        <w:rPr>
          <w:rFonts w:ascii="Verdana" w:hAnsi="Verdana"/>
          <w:sz w:val="20"/>
          <w:szCs w:val="20"/>
        </w:rPr>
      </w:pPr>
      <w:r>
        <w:rPr>
          <w:rFonts w:cs="Tahoma" w:ascii="Verdana" w:hAnsi="Verdana"/>
          <w:color w:val="auto"/>
          <w:sz w:val="20"/>
          <w:szCs w:val="20"/>
        </w:rPr>
        <w:t>18</w:t>
      </w:r>
      <w:r>
        <w:rPr>
          <w:rFonts w:cs="Arial" w:ascii="Verdana" w:hAnsi="Verdana"/>
          <w:sz w:val="20"/>
          <w:szCs w:val="20"/>
        </w:rPr>
        <w:t>. DO PAGAMENTO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regras acerca do pagamento são as estabelecidas no Termo de Referência e Minuta de Contrato anexo a este edital.</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lang w:eastAsia="en-US"/>
        </w:rPr>
        <w:t>19. DA CONTA DEPÓSITO VINCULADA ― BLOQUEADA PARA MOVIMENTAÇÃO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lang w:eastAsia="en-US"/>
        </w:rPr>
        <w:t>19.1</w:t>
      </w:r>
      <w:r>
        <w:rPr>
          <w:rFonts w:cs="Arial" w:ascii="Verdana" w:hAnsi="Verdana"/>
          <w:color w:val="000000"/>
          <w:sz w:val="20"/>
          <w:szCs w:val="20"/>
          <w:lang w:eastAsia="en-US"/>
        </w:rPr>
        <w:t xml:space="preserve"> Para atendimento ao disposto no art. 18 da IN SEGES/MP N. 5/2017, as regras acerca da Conta depósito Vinculada – bloqueada para movimentação a que se refere o Anexo XII da IN SEGES/MP n. 5/2017 são as estabelecidas no Termo de Referência, anexo a este Edital.</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spacing w:lineRule="auto" w:line="360" w:before="57" w:after="57"/>
        <w:ind w:left="0" w:right="0"/>
        <w:rPr>
          <w:rFonts w:ascii="Verdana" w:hAnsi="Verdana"/>
          <w:sz w:val="20"/>
          <w:szCs w:val="20"/>
        </w:rPr>
      </w:pPr>
      <w:r>
        <w:rPr>
          <w:rFonts w:cs="Arial" w:ascii="Verdana" w:hAnsi="Verdana"/>
          <w:sz w:val="20"/>
          <w:szCs w:val="20"/>
        </w:rPr>
        <w:t>20. DAS SANÇÕES ADMINISTRATIVAS.</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360" w:before="57" w:after="57"/>
        <w:ind w:left="0" w:right="0"/>
        <w:jc w:val="both"/>
        <w:rPr>
          <w:rFonts w:ascii="Verdana" w:hAnsi="Verdana"/>
          <w:sz w:val="20"/>
          <w:szCs w:val="20"/>
        </w:rPr>
      </w:pPr>
      <w:r>
        <w:rPr>
          <w:rFonts w:cs="Arial" w:ascii="Verdana" w:hAnsi="Verdana"/>
          <w:sz w:val="20"/>
          <w:szCs w:val="20"/>
          <w:shd w:fill="FFFFFF" w:val="clear"/>
        </w:rPr>
        <w:t>20.1.1 D</w:t>
      </w:r>
      <w:bookmarkStart w:id="9"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9"/>
    </w:p>
    <w:p>
      <w:pPr>
        <w:pStyle w:val="Normal"/>
        <w:tabs>
          <w:tab w:val="clear" w:pos="720"/>
          <w:tab w:val="left" w:pos="850" w:leader="none"/>
          <w:tab w:val="left" w:pos="1440" w:leader="none"/>
        </w:tabs>
        <w:snapToGrid w:val="false"/>
        <w:spacing w:lineRule="auto" w:line="360" w:before="57" w:after="57"/>
        <w:ind w:left="0" w:right="0"/>
        <w:jc w:val="both"/>
        <w:rPr>
          <w:rFonts w:ascii="Verdana" w:hAnsi="Verdana"/>
          <w:sz w:val="20"/>
          <w:szCs w:val="20"/>
        </w:rPr>
      </w:pPr>
      <w:r>
        <w:rPr>
          <w:rFonts w:cs="Arial" w:ascii="Verdana" w:hAnsi="Verdana"/>
          <w:sz w:val="20"/>
          <w:szCs w:val="20"/>
          <w:shd w:fill="FFFFFF" w:val="clear"/>
        </w:rPr>
        <w:t xml:space="preserve">20.1.2 </w:t>
      </w:r>
      <w:bookmarkStart w:id="10" w:name="_Ref114668108"/>
      <w:r>
        <w:rPr>
          <w:rFonts w:cs="Arial" w:ascii="Verdana" w:hAnsi="Verdana"/>
          <w:sz w:val="20"/>
          <w:szCs w:val="20"/>
          <w:shd w:fill="FFFFFF" w:val="clear"/>
        </w:rPr>
        <w:t>Salvo em decorrência de fato superveniente devidamente justificado, não mantiver a proposta em especial quando:</w:t>
      </w:r>
      <w:bookmarkEnd w:id="10"/>
    </w:p>
    <w:p>
      <w:pPr>
        <w:pStyle w:val="Normal"/>
        <w:tabs>
          <w:tab w:val="clear" w:pos="720"/>
          <w:tab w:val="left" w:pos="850" w:leader="none"/>
          <w:tab w:val="left" w:pos="1440" w:leader="none"/>
        </w:tabs>
        <w:snapToGrid w:val="false"/>
        <w:spacing w:lineRule="auto" w:line="360" w:before="57" w:after="57"/>
        <w:ind w:left="0" w:right="0"/>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20"/>
          <w:tab w:val="left" w:pos="850" w:leader="none"/>
          <w:tab w:val="left" w:pos="1440" w:leader="none"/>
        </w:tabs>
        <w:snapToGrid w:val="false"/>
        <w:spacing w:lineRule="auto" w:line="360" w:before="57" w:after="57"/>
        <w:ind w:left="0" w:right="0"/>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20"/>
          <w:tab w:val="left" w:pos="850" w:leader="none"/>
          <w:tab w:val="left" w:pos="1440" w:leader="none"/>
        </w:tabs>
        <w:snapToGrid w:val="false"/>
        <w:spacing w:lineRule="auto" w:line="360" w:before="57" w:after="57"/>
        <w:ind w:left="0" w:right="0"/>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20"/>
          <w:tab w:val="left" w:pos="850" w:leader="none"/>
          <w:tab w:val="left" w:pos="1440" w:leader="none"/>
        </w:tabs>
        <w:snapToGrid w:val="false"/>
        <w:spacing w:lineRule="auto" w:line="360" w:before="57" w:after="57"/>
        <w:ind w:left="0" w:right="0"/>
        <w:jc w:val="both"/>
        <w:rPr>
          <w:rFonts w:ascii="Verdana" w:hAnsi="Verdana"/>
          <w:sz w:val="20"/>
          <w:szCs w:val="20"/>
        </w:rPr>
      </w:pPr>
      <w:r>
        <w:rPr>
          <w:rFonts w:cs="Arial" w:ascii="Verdana" w:hAnsi="Verdana"/>
          <w:sz w:val="20"/>
          <w:szCs w:val="20"/>
          <w:shd w:fill="FFFFFF" w:val="clear"/>
        </w:rPr>
        <w:t>20.1.2.4 Apresentar proposta em desacordo com as especificações do edital;</w:t>
      </w:r>
    </w:p>
    <w:p>
      <w:pPr>
        <w:pStyle w:val="Normal"/>
        <w:tabs>
          <w:tab w:val="clear" w:pos="720"/>
          <w:tab w:val="left" w:pos="850" w:leader="none"/>
          <w:tab w:val="left" w:pos="1440" w:leader="none"/>
        </w:tabs>
        <w:snapToGrid w:val="false"/>
        <w:spacing w:lineRule="auto" w:line="360" w:before="57" w:after="57"/>
        <w:ind w:left="0" w:right="0"/>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360" w:before="57" w:after="57"/>
        <w:ind w:left="0" w:right="0"/>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360" w:before="57" w:after="57"/>
        <w:ind w:left="0" w:right="0"/>
        <w:jc w:val="both"/>
        <w:rPr>
          <w:rFonts w:ascii="Verdana" w:hAnsi="Verdana"/>
          <w:sz w:val="20"/>
          <w:szCs w:val="20"/>
        </w:rPr>
      </w:pPr>
      <w:r>
        <w:rPr>
          <w:rFonts w:ascii="Verdana" w:hAnsi="Verdana"/>
          <w:sz w:val="20"/>
          <w:szCs w:val="20"/>
        </w:rPr>
        <w:t>20.1.4 A</w:t>
      </w:r>
      <w:bookmarkStart w:id="11" w:name="_Ref114668249"/>
      <w:r>
        <w:rPr>
          <w:rFonts w:ascii="Verdana" w:hAnsi="Verdana"/>
          <w:sz w:val="20"/>
          <w:szCs w:val="20"/>
        </w:rPr>
        <w:t>presentar declaração ou documentação falsa exigida para o certame ou prestar declaração falsa durante a licitação</w:t>
      </w:r>
      <w:bookmarkEnd w:id="11"/>
    </w:p>
    <w:p>
      <w:pPr>
        <w:pStyle w:val="Normal"/>
        <w:spacing w:lineRule="auto" w:line="360" w:before="57" w:after="57"/>
        <w:ind w:left="0" w:right="0"/>
        <w:jc w:val="both"/>
        <w:rPr>
          <w:rFonts w:ascii="Verdana" w:hAnsi="Verdana"/>
          <w:sz w:val="20"/>
          <w:szCs w:val="20"/>
        </w:rPr>
      </w:pPr>
      <w:r>
        <w:rPr>
          <w:rFonts w:ascii="Verdana" w:hAnsi="Verdana"/>
          <w:sz w:val="20"/>
          <w:szCs w:val="20"/>
        </w:rPr>
        <w:t>20.1.5 F</w:t>
      </w:r>
      <w:bookmarkStart w:id="12" w:name="_Ref114668245"/>
      <w:r>
        <w:rPr>
          <w:rFonts w:ascii="Verdana" w:hAnsi="Verdana"/>
          <w:sz w:val="20"/>
          <w:szCs w:val="20"/>
        </w:rPr>
        <w:t>raudar a licitação</w:t>
      </w:r>
      <w:bookmarkEnd w:id="12"/>
    </w:p>
    <w:p>
      <w:pPr>
        <w:pStyle w:val="Normal"/>
        <w:spacing w:lineRule="auto" w:line="360" w:before="57" w:after="57"/>
        <w:ind w:left="0" w:right="0"/>
        <w:jc w:val="both"/>
        <w:rPr>
          <w:rFonts w:ascii="Verdana" w:hAnsi="Verdana"/>
          <w:sz w:val="20"/>
          <w:szCs w:val="20"/>
        </w:rPr>
      </w:pPr>
      <w:r>
        <w:rPr>
          <w:rFonts w:ascii="Verdana" w:hAnsi="Verdana"/>
          <w:sz w:val="20"/>
          <w:szCs w:val="20"/>
        </w:rPr>
        <w:t>20.1.6 C</w:t>
      </w:r>
      <w:bookmarkStart w:id="13" w:name="_Ref114668247"/>
      <w:r>
        <w:rPr>
          <w:rFonts w:ascii="Verdana" w:hAnsi="Verdana"/>
          <w:sz w:val="20"/>
          <w:szCs w:val="20"/>
        </w:rPr>
        <w:t>omportar-se de modo inidôneo ou cometer fraude de qualquer natureza, em especial quando:</w:t>
      </w:r>
      <w:bookmarkEnd w:id="13"/>
    </w:p>
    <w:p>
      <w:pPr>
        <w:pStyle w:val="Normal"/>
        <w:spacing w:lineRule="auto" w:line="360" w:before="57" w:after="57"/>
        <w:ind w:left="0" w:right="0"/>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360" w:before="57" w:after="57"/>
        <w:ind w:left="0" w:right="0"/>
        <w:jc w:val="both"/>
        <w:rPr>
          <w:rFonts w:ascii="Verdana" w:hAnsi="Verdana"/>
          <w:sz w:val="20"/>
          <w:szCs w:val="20"/>
        </w:rPr>
      </w:pPr>
      <w:r>
        <w:rPr>
          <w:rFonts w:ascii="Verdana" w:hAnsi="Verdana"/>
          <w:sz w:val="20"/>
          <w:szCs w:val="20"/>
        </w:rPr>
        <w:t>20.1.6.2 Induzir deliberadamente a erro no julgamento;</w:t>
      </w:r>
    </w:p>
    <w:p>
      <w:pPr>
        <w:pStyle w:val="Normal"/>
        <w:spacing w:lineRule="auto" w:line="360" w:before="57" w:after="57"/>
        <w:ind w:left="0" w:right="0"/>
        <w:jc w:val="both"/>
        <w:rPr>
          <w:rFonts w:ascii="Verdana" w:hAnsi="Verdana"/>
          <w:sz w:val="20"/>
          <w:szCs w:val="20"/>
        </w:rPr>
      </w:pPr>
      <w:r>
        <w:rPr>
          <w:rFonts w:ascii="Verdana" w:hAnsi="Verdana"/>
          <w:sz w:val="20"/>
          <w:szCs w:val="20"/>
        </w:rPr>
        <w:t>20.1.7 P</w:t>
      </w:r>
      <w:bookmarkStart w:id="14" w:name="_Ref114668251"/>
      <w:r>
        <w:rPr>
          <w:rFonts w:ascii="Verdana" w:hAnsi="Verdana"/>
          <w:sz w:val="20"/>
          <w:szCs w:val="20"/>
        </w:rPr>
        <w:t>raticar atos ilícitos com vistas a frustrar os objetivos da licitação</w:t>
      </w:r>
      <w:bookmarkEnd w:id="14"/>
    </w:p>
    <w:p>
      <w:pPr>
        <w:pStyle w:val="Normal"/>
        <w:spacing w:lineRule="auto" w:line="360" w:before="57" w:after="57"/>
        <w:ind w:left="0" w:right="0"/>
        <w:jc w:val="both"/>
        <w:rPr/>
      </w:pPr>
      <w:r>
        <w:rPr>
          <w:rFonts w:ascii="Verdana" w:hAnsi="Verdana"/>
          <w:sz w:val="20"/>
          <w:szCs w:val="20"/>
        </w:rPr>
        <w:t>20.1.8 P</w:t>
      </w:r>
      <w:bookmarkStart w:id="15" w:name="_Ref114668252"/>
      <w:r>
        <w:rPr>
          <w:rFonts w:ascii="Verdana" w:hAnsi="Verdana"/>
          <w:sz w:val="20"/>
          <w:szCs w:val="20"/>
        </w:rPr>
        <w:t xml:space="preserve">raticar ato lesivo previsto no </w:t>
      </w:r>
      <w:r>
        <w:fldChar w:fldCharType="begin"/>
      </w:r>
      <w:r>
        <w:rPr>
          <w:rStyle w:val="ListLabel196"/>
          <w:sz w:val="20"/>
          <w:u w:val="none"/>
          <w:szCs w:val="20"/>
          <w:rFonts w:ascii="Verdana" w:hAnsi="Verdana"/>
          <w:color w:val="000000"/>
        </w:rPr>
        <w:instrText xml:space="preserve"> HYPERLINK "https://www.planalto.gov.br/ccivil_03/_ato2011-2014/2013/lei/l12846.htm" \l "art5"</w:instrText>
      </w:r>
      <w:r>
        <w:rPr>
          <w:rStyle w:val="ListLabel196"/>
          <w:sz w:val="20"/>
          <w:u w:val="none"/>
          <w:szCs w:val="20"/>
          <w:rFonts w:ascii="Verdana" w:hAnsi="Verdana"/>
          <w:color w:val="000000"/>
        </w:rPr>
        <w:fldChar w:fldCharType="separate"/>
      </w:r>
      <w:r>
        <w:rPr>
          <w:rStyle w:val="ListLabel196"/>
          <w:rFonts w:ascii="Verdana" w:hAnsi="Verdana"/>
          <w:color w:val="000000"/>
          <w:sz w:val="20"/>
          <w:szCs w:val="20"/>
          <w:u w:val="none"/>
        </w:rPr>
        <w:t>art. 5º da Lei n.º 12.846, de 2013</w:t>
      </w:r>
      <w:r>
        <w:rPr>
          <w:rStyle w:val="ListLabel196"/>
          <w:sz w:val="20"/>
          <w:u w:val="none"/>
          <w:szCs w:val="20"/>
          <w:rFonts w:ascii="Verdana" w:hAnsi="Verdana"/>
          <w:color w:val="000000"/>
        </w:rPr>
        <w:fldChar w:fldCharType="end"/>
      </w:r>
      <w:r>
        <w:rPr>
          <w:rFonts w:ascii="Verdana" w:hAnsi="Verdana"/>
          <w:sz w:val="20"/>
          <w:szCs w:val="20"/>
        </w:rPr>
        <w:t>.</w:t>
      </w:r>
      <w:bookmarkEnd w:id="15"/>
    </w:p>
    <w:p>
      <w:pPr>
        <w:pStyle w:val="Nivel2"/>
        <w:numPr>
          <w:ilvl w:val="0"/>
          <w:numId w:val="0"/>
        </w:numPr>
        <w:spacing w:lineRule="auto" w:line="360" w:before="57" w:after="57"/>
        <w:ind w:hanging="0" w:left="0" w:right="0"/>
        <w:rPr/>
      </w:pPr>
      <w:r>
        <w:rPr>
          <w:rFonts w:ascii="Verdana" w:hAnsi="Verdana"/>
          <w:b/>
          <w:bCs/>
          <w:sz w:val="20"/>
          <w:szCs w:val="20"/>
        </w:rPr>
        <w:t>20.2</w:t>
      </w:r>
      <w:r>
        <w:rPr>
          <w:rFonts w:ascii="Verdana" w:hAnsi="Verdana"/>
          <w:sz w:val="20"/>
          <w:szCs w:val="20"/>
        </w:rPr>
        <w:t xml:space="preserve">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20.2.1 Advertência;</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20.2.2 Multa;</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360" w:before="57" w:after="57"/>
        <w:ind w:hanging="0" w:left="0" w:right="0"/>
        <w:rPr>
          <w:rFonts w:ascii="Verdana" w:hAnsi="Verdana"/>
          <w:sz w:val="20"/>
          <w:szCs w:val="20"/>
        </w:rPr>
      </w:pPr>
      <w:r>
        <w:rPr>
          <w:rFonts w:ascii="Verdana" w:hAnsi="Verdana"/>
          <w:b/>
          <w:bCs/>
          <w:sz w:val="20"/>
          <w:szCs w:val="20"/>
        </w:rPr>
        <w:t>20.3</w:t>
      </w:r>
      <w:r>
        <w:rPr>
          <w:rFonts w:ascii="Verdana" w:hAnsi="Verdana"/>
          <w:sz w:val="20"/>
          <w:szCs w:val="20"/>
        </w:rPr>
        <w:t xml:space="preserve"> Na aplicação das sanções serão considerados:</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360" w:before="57" w:after="57"/>
        <w:ind w:hanging="0" w:left="0" w:right="0"/>
        <w:rPr>
          <w:rFonts w:ascii="Verdana" w:hAnsi="Verdana"/>
          <w:sz w:val="20"/>
          <w:szCs w:val="20"/>
        </w:rPr>
      </w:pPr>
      <w:r>
        <w:rPr>
          <w:rFonts w:ascii="Verdana" w:hAnsi="Verdana"/>
          <w:b/>
          <w:bCs/>
          <w:sz w:val="20"/>
          <w:szCs w:val="20"/>
        </w:rPr>
        <w:t>20.4</w:t>
      </w:r>
      <w:r>
        <w:rPr>
          <w:rFonts w:ascii="Verdana" w:hAnsi="Verdana"/>
          <w:sz w:val="20"/>
          <w:szCs w:val="20"/>
        </w:rPr>
        <w:t xml:space="preserve"> A multa será recolhida em percentual de 0,5% a 30% incidente sobre o valor do contrato licitado, recolhida no prazo máximo de </w:t>
      </w:r>
      <w:r>
        <w:rPr>
          <w:rFonts w:ascii="Verdana" w:hAnsi="Verdana"/>
          <w:b/>
          <w:bCs/>
          <w:color w:val="FF0000"/>
          <w:sz w:val="20"/>
          <w:szCs w:val="20"/>
        </w:rPr>
        <w:t>.... (......) dias</w:t>
      </w:r>
      <w:r>
        <w:rPr>
          <w:rFonts w:ascii="Verdana" w:hAnsi="Verdana"/>
          <w:color w:val="FF0000"/>
          <w:sz w:val="20"/>
          <w:szCs w:val="20"/>
        </w:rPr>
        <w:t xml:space="preserve"> </w:t>
      </w:r>
      <w:r>
        <w:rPr>
          <w:rFonts w:ascii="Verdana" w:hAnsi="Verdana"/>
          <w:sz w:val="20"/>
          <w:szCs w:val="20"/>
        </w:rPr>
        <w:t>úteis, a contar da comunicação oficial.</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 xml:space="preserve">20.4.1 </w:t>
      </w:r>
      <w:bookmarkStart w:id="16" w:name="_Hlk113876035"/>
      <w:r>
        <w:rPr>
          <w:rFonts w:ascii="Verdana" w:hAnsi="Verdana"/>
          <w:sz w:val="20"/>
          <w:szCs w:val="20"/>
        </w:rPr>
        <w:t xml:space="preserve">Para as infrações previstas nos itens 20.1.1, 20.1.2 e 20.1.3, a multa será de </w:t>
      </w:r>
      <w:r>
        <w:rPr>
          <w:rFonts w:ascii="Verdana" w:hAnsi="Verdana"/>
          <w:color w:val="FF0000"/>
          <w:sz w:val="20"/>
          <w:szCs w:val="20"/>
        </w:rPr>
        <w:t xml:space="preserve">0,5% </w:t>
      </w:r>
      <w:r>
        <w:rPr>
          <w:rFonts w:ascii="Verdana" w:hAnsi="Verdana"/>
          <w:sz w:val="20"/>
          <w:szCs w:val="20"/>
        </w:rPr>
        <w:t xml:space="preserve">a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do valor do contrato licitado.</w:t>
      </w:r>
      <w:bookmarkEnd w:id="16"/>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 xml:space="preserve">20.4.2 Para as infrações previstas nos itens 20.1.4, 20.1.5, 20.1.6, 20.1.7 e 20.1.8, a multa será de </w:t>
      </w:r>
      <w:r>
        <w:rPr>
          <w:rFonts w:ascii="Verdana" w:hAnsi="Verdana"/>
          <w:color w:val="FF0000"/>
          <w:sz w:val="20"/>
          <w:szCs w:val="20"/>
        </w:rPr>
        <w:t>15%</w:t>
      </w:r>
      <w:r>
        <w:rPr>
          <w:rFonts w:ascii="Verdana" w:hAnsi="Verdana"/>
          <w:color w:val="0000FF"/>
          <w:sz w:val="20"/>
          <w:szCs w:val="20"/>
        </w:rPr>
        <w:t xml:space="preserve"> </w:t>
      </w:r>
      <w:r>
        <w:rPr>
          <w:rFonts w:ascii="Verdana" w:hAnsi="Verdana"/>
          <w:sz w:val="20"/>
          <w:szCs w:val="20"/>
        </w:rPr>
        <w:t xml:space="preserve">a </w:t>
      </w:r>
      <w:r>
        <w:rPr>
          <w:rFonts w:ascii="Verdana" w:hAnsi="Verdana"/>
          <w:color w:val="FF0000"/>
          <w:sz w:val="20"/>
          <w:szCs w:val="20"/>
        </w:rPr>
        <w:t>30%</w:t>
      </w:r>
      <w:r>
        <w:rPr>
          <w:rFonts w:ascii="Verdana" w:hAnsi="Verdana"/>
          <w:color w:val="0000FF"/>
          <w:sz w:val="20"/>
          <w:szCs w:val="20"/>
        </w:rPr>
        <w:t xml:space="preserve"> </w:t>
      </w:r>
      <w:r>
        <w:rPr>
          <w:rFonts w:ascii="Verdana" w:hAnsi="Verdana"/>
          <w:sz w:val="20"/>
          <w:szCs w:val="20"/>
        </w:rPr>
        <w:t>do valor do contrato licitado.</w:t>
      </w:r>
    </w:p>
    <w:p>
      <w:pPr>
        <w:pStyle w:val="Nivel2"/>
        <w:numPr>
          <w:ilvl w:val="0"/>
          <w:numId w:val="0"/>
        </w:numPr>
        <w:spacing w:lineRule="auto" w:line="360" w:before="57" w:after="57"/>
        <w:ind w:hanging="0" w:left="0" w:right="0"/>
        <w:rPr>
          <w:rFonts w:ascii="Verdana" w:hAnsi="Verdana"/>
          <w:sz w:val="20"/>
          <w:szCs w:val="20"/>
        </w:rPr>
      </w:pPr>
      <w:r>
        <w:rPr>
          <w:rFonts w:ascii="Verdana" w:hAnsi="Verdana"/>
          <w:b/>
          <w:bCs/>
          <w:sz w:val="20"/>
          <w:szCs w:val="20"/>
        </w:rPr>
        <w:t>20.5</w:t>
      </w:r>
      <w:r>
        <w:rPr>
          <w:rFonts w:ascii="Verdana" w:hAnsi="Verdana"/>
          <w:sz w:val="20"/>
          <w:szCs w:val="20"/>
        </w:rPr>
        <w:t xml:space="preserve">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360" w:before="57" w:after="57"/>
        <w:ind w:hanging="0" w:left="0" w:right="0"/>
        <w:rPr/>
      </w:pPr>
      <w:r>
        <w:rPr>
          <w:rFonts w:eastAsia="Arial Unicode MS" w:cs="Times New Roman" w:ascii="Verdana" w:hAnsi="Verdana"/>
          <w:b/>
          <w:bCs/>
          <w:color w:val="auto"/>
          <w:kern w:val="0"/>
          <w:sz w:val="20"/>
          <w:szCs w:val="20"/>
          <w:lang w:val="pt-BR" w:eastAsia="pt-BR" w:bidi="ar-SA"/>
        </w:rPr>
        <w:t>20.6</w:t>
      </w:r>
      <w:r>
        <w:rPr>
          <w:rFonts w:ascii="Verdana" w:hAnsi="Verdana"/>
          <w:sz w:val="20"/>
          <w:szCs w:val="20"/>
        </w:rPr>
        <w:t xml:space="preserve"> Na aplicação da sanção de multa será facultada a defesa do interessado no prazo de 15 (quinze) dias úteis, contado da data de sua intimação.</w:t>
      </w:r>
    </w:p>
    <w:p>
      <w:pPr>
        <w:pStyle w:val="Nivel2"/>
        <w:numPr>
          <w:ilvl w:val="0"/>
          <w:numId w:val="0"/>
        </w:numPr>
        <w:spacing w:lineRule="auto" w:line="360" w:before="57" w:after="57"/>
        <w:ind w:hanging="0" w:left="0" w:right="0"/>
        <w:rPr>
          <w:rFonts w:ascii="Verdana" w:hAnsi="Verdana"/>
          <w:sz w:val="20"/>
          <w:szCs w:val="20"/>
        </w:rPr>
      </w:pPr>
      <w:r>
        <w:rPr>
          <w:rFonts w:ascii="Verdana" w:hAnsi="Verdana"/>
          <w:b/>
          <w:bCs/>
          <w:sz w:val="20"/>
          <w:szCs w:val="20"/>
        </w:rPr>
        <w:t>20.7</w:t>
      </w:r>
      <w:r>
        <w:rPr>
          <w:rFonts w:ascii="Verdana" w:hAnsi="Verdana"/>
          <w:sz w:val="20"/>
          <w:szCs w:val="20"/>
        </w:rPr>
        <w:t xml:space="preserve">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360" w:before="57" w:after="57"/>
        <w:ind w:hanging="0" w:left="0" w:right="0"/>
        <w:rPr/>
      </w:pPr>
      <w:r>
        <w:rPr>
          <w:rFonts w:ascii="Verdana" w:hAnsi="Verdana"/>
          <w:b/>
          <w:bCs/>
          <w:sz w:val="20"/>
          <w:szCs w:val="20"/>
        </w:rPr>
        <w:t>20.8</w:t>
      </w:r>
      <w:r>
        <w:rPr>
          <w:rFonts w:ascii="Verdana" w:hAnsi="Verdana"/>
          <w:sz w:val="20"/>
          <w:szCs w:val="20"/>
        </w:rPr>
        <w:t xml:space="preserve"> Poderá ser aplicada ao responsável a sanção de declaração de inidoneidade para licitar ou contratar, em decorrência da prática das infrações dispostas nos itens 20.1.4, 20.1.5, 20.1.6, 20.8.7 e 20.1.8, bem como pelas infrações administrativas previstas nos itens 20.1.1, 20.1.2 e 20.8.3 que justifiquem a imposição de penalidade mais grave que a sanção de impedimento de licitar e contratar, cuja duração observará o prazo previsto no </w:t>
      </w:r>
      <w:r>
        <w:fldChar w:fldCharType="begin"/>
      </w:r>
      <w:r>
        <w:rPr>
          <w:rStyle w:val="ListLabel196"/>
          <w:sz w:val="20"/>
          <w:u w:val="none"/>
          <w:szCs w:val="20"/>
          <w:rFonts w:ascii="Verdana" w:hAnsi="Verdana"/>
          <w:color w:val="000000"/>
        </w:rPr>
        <w:instrText xml:space="preserve"> HYPERLINK "http://www.planalto.gov.br/ccivil_03/_ato2019-2022/2021/lei/L14133.htm" \l "art156§5"</w:instrText>
      </w:r>
      <w:r>
        <w:rPr>
          <w:rStyle w:val="ListLabel196"/>
          <w:sz w:val="20"/>
          <w:u w:val="none"/>
          <w:szCs w:val="20"/>
          <w:rFonts w:ascii="Verdana" w:hAnsi="Verdana"/>
          <w:color w:val="000000"/>
        </w:rPr>
        <w:fldChar w:fldCharType="separate"/>
      </w:r>
      <w:r>
        <w:rPr>
          <w:rStyle w:val="ListLabel196"/>
          <w:rFonts w:ascii="Verdana" w:hAnsi="Verdana"/>
          <w:color w:val="000000"/>
          <w:sz w:val="20"/>
          <w:szCs w:val="20"/>
          <w:u w:val="none"/>
        </w:rPr>
        <w:t>art. 156, §5º, da Lei n.º 14.133/2021</w:t>
      </w:r>
      <w:r>
        <w:rPr>
          <w:rStyle w:val="ListLabel196"/>
          <w:sz w:val="20"/>
          <w:u w:val="none"/>
          <w:szCs w:val="20"/>
          <w:rFonts w:ascii="Verdana" w:hAnsi="Verdana"/>
          <w:color w:val="000000"/>
        </w:rPr>
        <w:fldChar w:fldCharType="end"/>
      </w:r>
      <w:r>
        <w:rPr>
          <w:rFonts w:ascii="Verdana" w:hAnsi="Verdana"/>
          <w:sz w:val="20"/>
          <w:szCs w:val="20"/>
        </w:rPr>
        <w:t>.</w:t>
      </w:r>
    </w:p>
    <w:p>
      <w:pPr>
        <w:pStyle w:val="Nivel2"/>
        <w:numPr>
          <w:ilvl w:val="0"/>
          <w:numId w:val="0"/>
        </w:numPr>
        <w:spacing w:lineRule="auto" w:line="360" w:before="57" w:after="57"/>
        <w:ind w:hanging="0" w:left="0" w:right="0"/>
        <w:rPr/>
      </w:pPr>
      <w:r>
        <w:rPr>
          <w:rFonts w:ascii="Verdana" w:hAnsi="Verdana"/>
          <w:b/>
          <w:bCs/>
          <w:sz w:val="20"/>
          <w:szCs w:val="20"/>
        </w:rPr>
        <w:t>20.9</w:t>
      </w:r>
      <w:r>
        <w:rPr>
          <w:rFonts w:ascii="Verdana" w:hAnsi="Verdana"/>
          <w:sz w:val="20"/>
          <w:szCs w:val="20"/>
        </w:rPr>
        <w:t xml:space="preserve">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196"/>
            <w:rFonts w:ascii="Verdana" w:hAnsi="Verdana"/>
            <w:color w:val="000000"/>
            <w:sz w:val="20"/>
            <w:szCs w:val="20"/>
            <w:u w:val="none"/>
          </w:rPr>
          <w:t>art. 45, §4º da IN SEGES/ME n.º 73, de 2022</w:t>
        </w:r>
      </w:hyperlink>
      <w:r>
        <w:rPr>
          <w:rFonts w:ascii="Verdana" w:hAnsi="Verdana"/>
          <w:sz w:val="20"/>
          <w:szCs w:val="20"/>
        </w:rPr>
        <w:t xml:space="preserve">. </w:t>
      </w:r>
    </w:p>
    <w:p>
      <w:pPr>
        <w:pStyle w:val="Nivel2"/>
        <w:numPr>
          <w:ilvl w:val="0"/>
          <w:numId w:val="0"/>
        </w:numPr>
        <w:spacing w:lineRule="auto" w:line="360" w:before="57" w:after="57"/>
        <w:ind w:hanging="0" w:left="0" w:right="0"/>
        <w:rPr>
          <w:rFonts w:ascii="Verdana" w:hAnsi="Verdana"/>
          <w:sz w:val="20"/>
          <w:szCs w:val="20"/>
        </w:rPr>
      </w:pPr>
      <w:r>
        <w:rPr>
          <w:rFonts w:ascii="Verdana" w:hAnsi="Verdana"/>
          <w:b/>
          <w:bCs/>
          <w:sz w:val="20"/>
          <w:szCs w:val="20"/>
        </w:rPr>
        <w:t>20.10</w:t>
      </w:r>
      <w:r>
        <w:rPr>
          <w:rFonts w:ascii="Verdana" w:hAnsi="Verdana"/>
          <w:sz w:val="20"/>
          <w:szCs w:val="20"/>
        </w:rPr>
        <w:t xml:space="preserve">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360" w:before="57" w:after="57"/>
        <w:ind w:hanging="0" w:left="0" w:right="0"/>
        <w:rPr>
          <w:rFonts w:ascii="Verdana" w:hAnsi="Verdana"/>
          <w:sz w:val="20"/>
          <w:szCs w:val="20"/>
        </w:rPr>
      </w:pPr>
      <w:r>
        <w:rPr>
          <w:rFonts w:ascii="Verdana" w:hAnsi="Verdana"/>
          <w:b/>
          <w:bCs/>
          <w:sz w:val="20"/>
          <w:szCs w:val="20"/>
        </w:rPr>
        <w:t>20.11</w:t>
      </w:r>
      <w:r>
        <w:rPr>
          <w:rFonts w:ascii="Verdana" w:hAnsi="Verdana"/>
          <w:sz w:val="20"/>
          <w:szCs w:val="20"/>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360" w:before="57" w:after="57"/>
        <w:ind w:hanging="0" w:left="0" w:righ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360" w:before="57" w:after="57"/>
        <w:ind w:hanging="0" w:left="0" w:right="0"/>
        <w:rPr>
          <w:rFonts w:ascii="Verdana" w:hAnsi="Verdana"/>
          <w:sz w:val="20"/>
          <w:szCs w:val="20"/>
        </w:rPr>
      </w:pPr>
      <w:r>
        <w:rPr>
          <w:rFonts w:ascii="Verdana" w:hAnsi="Verdana"/>
          <w:b/>
          <w:bCs/>
          <w:sz w:val="20"/>
          <w:szCs w:val="20"/>
        </w:rPr>
        <w:t>20.12</w:t>
      </w:r>
      <w:r>
        <w:rPr>
          <w:rFonts w:ascii="Verdana" w:hAnsi="Verdana"/>
          <w:sz w:val="20"/>
          <w:szCs w:val="20"/>
        </w:rPr>
        <w:t xml:space="preserve"> O recurso e o pedido de reconsideração terão efeito suspensivo do ato ou da decisão recorrida até que sobrevenha decisão final da autoridade competente.</w:t>
      </w:r>
    </w:p>
    <w:p>
      <w:pPr>
        <w:pStyle w:val="Nivel2"/>
        <w:numPr>
          <w:ilvl w:val="0"/>
          <w:numId w:val="0"/>
        </w:numPr>
        <w:spacing w:lineRule="auto" w:line="360" w:before="57" w:after="57"/>
        <w:ind w:hanging="0" w:left="0" w:right="0"/>
        <w:rPr>
          <w:rFonts w:ascii="Verdana" w:hAnsi="Verdana"/>
          <w:sz w:val="20"/>
          <w:szCs w:val="20"/>
        </w:rPr>
      </w:pPr>
      <w:r>
        <w:rPr>
          <w:rFonts w:cs="Arial" w:ascii="Verdana" w:hAnsi="Verdana"/>
          <w:b/>
          <w:bCs/>
          <w:sz w:val="20"/>
          <w:szCs w:val="20"/>
          <w:shd w:fill="FFFFFF" w:val="clear"/>
        </w:rPr>
        <w:t>20.13</w:t>
      </w:r>
      <w:r>
        <w:rPr>
          <w:rFonts w:cs="Arial" w:ascii="Verdana" w:hAnsi="Verdana"/>
          <w:sz w:val="20"/>
          <w:szCs w:val="20"/>
          <w:shd w:fill="FFFFFF" w:val="clear"/>
        </w:rPr>
        <w:t xml:space="preserve"> A aplicação das sanções previstas neste edital não exclui, em hipótese alguma, a obrigação de reparação integral dos danos causados.</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spacing w:lineRule="auto" w:line="360" w:before="57" w:after="57"/>
        <w:ind w:left="0" w:right="0"/>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sz w:val="20"/>
          <w:szCs w:val="20"/>
        </w:rPr>
        <w:t>21.1</w:t>
      </w:r>
      <w:r>
        <w:rPr>
          <w:rFonts w:cs="Arial" w:ascii="Verdana" w:hAnsi="Verdana"/>
          <w:sz w:val="20"/>
          <w:szCs w:val="20"/>
        </w:rPr>
        <w:t xml:space="preserve">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360" w:before="57" w:after="57"/>
        <w:ind w:left="0" w:right="0"/>
        <w:contextualSpacing w:val="false"/>
        <w:jc w:val="both"/>
        <w:rPr/>
      </w:pPr>
      <w:r>
        <w:rPr>
          <w:rFonts w:cs="Arial" w:ascii="Verdana" w:hAnsi="Verdana"/>
          <w:b/>
          <w:bCs/>
          <w:color w:val="000000"/>
          <w:sz w:val="20"/>
          <w:szCs w:val="20"/>
        </w:rPr>
        <w:t>21.2</w:t>
      </w:r>
      <w:r>
        <w:rPr>
          <w:rFonts w:cs="Arial" w:ascii="Verdana" w:hAnsi="Verdana"/>
          <w:color w:val="000000"/>
          <w:sz w:val="20"/>
          <w:szCs w:val="20"/>
        </w:rPr>
        <w:t xml:space="preserve"> A impugnação poderá ser realizada por forma eletrônica, pelo e-mail </w:t>
      </w:r>
      <w:hyperlink r:id="rId9">
        <w:r>
          <w:rPr>
            <w:rStyle w:val="ListLabel1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21.3</w:t>
      </w:r>
      <w:r>
        <w:rPr>
          <w:rFonts w:cs="Arial" w:ascii="Verdana" w:hAnsi="Verdana"/>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 xml:space="preserve">21.4 </w:t>
      </w:r>
      <w:r>
        <w:rPr>
          <w:rFonts w:cs="Arial" w:ascii="Verdana" w:hAnsi="Verdana"/>
          <w:color w:val="000000"/>
          <w:sz w:val="20"/>
          <w:szCs w:val="20"/>
        </w:rPr>
        <w:t>Acolhida a impugnação, será definida e publicada nova data para a realização do certame</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21.5</w:t>
      </w:r>
      <w:r>
        <w:rPr>
          <w:rFonts w:cs="Arial" w:ascii="Verdana" w:hAnsi="Verdana"/>
          <w:color w:val="000000"/>
          <w:sz w:val="20"/>
          <w:szCs w:val="20"/>
        </w:rPr>
        <w:t xml:space="preserve">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21.6</w:t>
      </w:r>
      <w:r>
        <w:rPr>
          <w:rFonts w:cs="Arial" w:ascii="Verdana" w:hAnsi="Verdana"/>
          <w:color w:val="000000"/>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21.7</w:t>
      </w:r>
      <w:r>
        <w:rPr>
          <w:rFonts w:cs="Arial" w:ascii="Verdana" w:hAnsi="Verdana"/>
          <w:color w:val="000000"/>
          <w:sz w:val="20"/>
          <w:szCs w:val="20"/>
        </w:rPr>
        <w:t xml:space="preserve"> As impugnações e pedidos de esclarecimentos não suspendem os prazos previstos no certame.</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21.8</w:t>
      </w:r>
      <w:r>
        <w:rPr>
          <w:rFonts w:cs="Arial" w:ascii="Verdana" w:hAnsi="Verdana"/>
          <w:color w:val="000000"/>
          <w:sz w:val="20"/>
          <w:szCs w:val="20"/>
        </w:rPr>
        <w:t xml:space="preserve"> A concessão de efeito suspensivo à impugnação é medida excepcional e deverá ser motivada pelo pregoeiro, nos autos do processo de licitação.</w:t>
      </w:r>
    </w:p>
    <w:p>
      <w:pPr>
        <w:pStyle w:val="ListParagraph"/>
        <w:spacing w:lineRule="auto" w:line="360" w:before="57" w:after="57"/>
        <w:ind w:left="0" w:right="0"/>
        <w:contextualSpacing w:val="false"/>
        <w:jc w:val="both"/>
        <w:rPr>
          <w:rFonts w:ascii="Verdana" w:hAnsi="Verdana"/>
          <w:sz w:val="20"/>
          <w:szCs w:val="20"/>
        </w:rPr>
      </w:pPr>
      <w:r>
        <w:rPr>
          <w:rFonts w:cs="Arial" w:ascii="Verdana" w:hAnsi="Verdana"/>
          <w:b/>
          <w:bCs/>
          <w:color w:val="000000"/>
          <w:sz w:val="20"/>
          <w:szCs w:val="20"/>
        </w:rPr>
        <w:t>21.9</w:t>
      </w:r>
      <w:r>
        <w:rPr>
          <w:rFonts w:cs="Arial" w:ascii="Verdana" w:hAnsi="Verdana"/>
          <w:color w:val="000000"/>
          <w:sz w:val="20"/>
          <w:szCs w:val="20"/>
        </w:rPr>
        <w:t xml:space="preserve"> As respostas aos pedidos de esclarecimentos serão divulgadas pelo sistema e vincularão os participantes e a administração.</w:t>
      </w:r>
    </w:p>
    <w:p>
      <w:pPr>
        <w:pStyle w:val="Normal"/>
        <w:spacing w:lineRule="auto" w:line="360" w:before="57" w:after="57"/>
        <w:ind w:left="0" w:right="0"/>
        <w:rPr>
          <w:rFonts w:ascii="Verdana" w:hAnsi="Verdana"/>
          <w:sz w:val="20"/>
          <w:szCs w:val="20"/>
        </w:rPr>
      </w:pPr>
      <w:r>
        <w:rPr>
          <w:rFonts w:ascii="Verdana" w:hAnsi="Verdana"/>
          <w:sz w:val="20"/>
          <w:szCs w:val="20"/>
        </w:rPr>
      </w:r>
    </w:p>
    <w:p>
      <w:pPr>
        <w:pStyle w:val="Nivel01"/>
        <w:spacing w:lineRule="auto" w:line="360" w:before="57" w:after="57"/>
        <w:ind w:left="0" w:right="0"/>
        <w:rPr>
          <w:rFonts w:ascii="Verdana" w:hAnsi="Verdana"/>
          <w:sz w:val="20"/>
          <w:szCs w:val="20"/>
        </w:rPr>
      </w:pPr>
      <w:r>
        <w:rPr>
          <w:rFonts w:cs="Arial" w:ascii="Verdana" w:hAnsi="Verdana"/>
          <w:sz w:val="20"/>
          <w:szCs w:val="20"/>
        </w:rPr>
        <w:t>22. DAS DISPOSIÇÕES GERAIS</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22.1</w:t>
      </w:r>
      <w:r>
        <w:rPr>
          <w:rFonts w:cs="Arial" w:ascii="Verdana" w:hAnsi="Verdana"/>
          <w:color w:val="000000"/>
          <w:sz w:val="20"/>
          <w:szCs w:val="20"/>
        </w:rPr>
        <w:t xml:space="preserve"> Da sessão pública do Pregão divulgar-se-á Ata no sistema eletrônico.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22.2</w:t>
      </w:r>
      <w:r>
        <w:rPr>
          <w:rFonts w:cs="Arial" w:ascii="Verdana" w:hAnsi="Verdana"/>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22.3</w:t>
      </w:r>
      <w:r>
        <w:rPr>
          <w:rFonts w:cs="Arial" w:ascii="Verdana" w:hAnsi="Verdana"/>
          <w:color w:val="000000"/>
          <w:sz w:val="20"/>
          <w:szCs w:val="20"/>
        </w:rPr>
        <w:t xml:space="preserve"> Todas as referências de tempo no Edital, no aviso e durante a sessão pública observarão o horário de Brasília – DF.</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22.4</w:t>
      </w:r>
      <w:r>
        <w:rPr>
          <w:rFonts w:cs="Arial" w:ascii="Verdana" w:hAnsi="Verdana"/>
          <w:color w:val="000000"/>
          <w:sz w:val="20"/>
          <w:szCs w:val="20"/>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22.5</w:t>
      </w:r>
      <w:r>
        <w:rPr>
          <w:rFonts w:cs="Arial" w:ascii="Verdana" w:hAnsi="Verdana"/>
          <w:color w:val="000000"/>
          <w:sz w:val="20"/>
          <w:szCs w:val="20"/>
        </w:rPr>
        <w:t xml:space="preserve"> A homologação do resultado desta licitação não implicará direito à contratação.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22.6</w:t>
      </w:r>
      <w:r>
        <w:rPr>
          <w:rFonts w:cs="Arial" w:ascii="Verdana" w:hAnsi="Verdana"/>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22.7</w:t>
      </w:r>
      <w:r>
        <w:rPr>
          <w:rFonts w:cs="Arial" w:ascii="Verdana" w:hAnsi="Verdana"/>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22.8</w:t>
      </w:r>
      <w:r>
        <w:rPr>
          <w:rFonts w:cs="Arial" w:ascii="Verdana" w:hAnsi="Verdana"/>
          <w:color w:val="000000"/>
          <w:sz w:val="20"/>
          <w:szCs w:val="20"/>
        </w:rPr>
        <w:t xml:space="preserve"> Na contagem dos prazos estabelecidos neste Edital e seus Anexos, excluir-se-á o dia do início e incluir-se-á o do vencimento. Só se iniciam e vencem os prazos em dias de expediente na Administração.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22.9</w:t>
      </w:r>
      <w:r>
        <w:rPr>
          <w:rFonts w:cs="Arial" w:ascii="Verdana" w:hAnsi="Verdana"/>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22.10</w:t>
      </w:r>
      <w:r>
        <w:rPr>
          <w:rFonts w:cs="Arial" w:ascii="Verdana" w:hAnsi="Verdana"/>
          <w:color w:val="000000"/>
          <w:sz w:val="20"/>
          <w:szCs w:val="20"/>
        </w:rPr>
        <w:t xml:space="preserve"> Em caso de divergência entre disposições deste Edital e de seus anexos ou demais peças que compõem o processo, prevalecerá as deste Edital.</w:t>
      </w:r>
    </w:p>
    <w:p>
      <w:pPr>
        <w:pStyle w:val="Normal"/>
        <w:spacing w:lineRule="auto" w:line="360" w:before="57" w:after="57"/>
        <w:ind w:left="0" w:right="0"/>
        <w:jc w:val="both"/>
        <w:rPr/>
      </w:pPr>
      <w:r>
        <w:rPr>
          <w:rFonts w:cs="Arial" w:ascii="Verdana" w:hAnsi="Verdana"/>
          <w:b/>
          <w:bCs/>
          <w:color w:val="000000"/>
          <w:sz w:val="20"/>
          <w:szCs w:val="20"/>
        </w:rPr>
        <w:t>22.11</w:t>
      </w:r>
      <w:r>
        <w:rPr>
          <w:rFonts w:cs="Arial" w:ascii="Verdana" w:hAnsi="Verdana"/>
          <w:color w:val="000000"/>
          <w:sz w:val="20"/>
          <w:szCs w:val="20"/>
        </w:rPr>
        <w:t xml:space="preserve"> O Edital está disponibilizado, na íntegra, no endereço eletrônico </w:t>
      </w:r>
      <w:r>
        <w:rPr>
          <w:rFonts w:cs="Arial" w:ascii="Verdana" w:hAnsi="Verdana"/>
          <w:color w:val="000000"/>
          <w:sz w:val="20"/>
          <w:szCs w:val="20"/>
          <w:u w:val="single"/>
        </w:rPr>
        <w:t xml:space="preserve">Portal de Compras do Governo Federal – </w:t>
      </w:r>
      <w:hyperlink r:id="rId10">
        <w:r>
          <w:rPr>
            <w:rStyle w:val="Hyperlink"/>
            <w:rFonts w:cs="Arial" w:ascii="Verdana" w:hAnsi="Verdana"/>
            <w:color w:val="000000"/>
            <w:sz w:val="20"/>
            <w:szCs w:val="20"/>
          </w:rPr>
          <w:t>www.comprasgovernamentais.gov.br</w:t>
        </w:r>
      </w:hyperlink>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193"/>
            <w:rFonts w:ascii="Verdana" w:hAnsi="Verdana"/>
            <w:color w:val="000080"/>
            <w:sz w:val="20"/>
            <w:szCs w:val="20"/>
            <w:u w:val="single"/>
          </w:rPr>
          <w:t>licitacao@</w:t>
        </w:r>
      </w:hyperlink>
      <w:hyperlink r:id="rId12">
        <w:r>
          <w:rPr>
            <w:rStyle w:val="ListLabel193"/>
            <w:rFonts w:ascii="Verdana" w:hAnsi="Verdana"/>
            <w:color w:val="000080"/>
            <w:sz w:val="20"/>
            <w:szCs w:val="20"/>
            <w:u w:val="single"/>
          </w:rPr>
          <w:t>saogabriel</w:t>
        </w:r>
      </w:hyperlink>
      <w:hyperlink r:id="rId13">
        <w:r>
          <w:rPr>
            <w:rStyle w:val="ListLabel1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as 18h00min e nas sextas-feiras das 07h00min as 13h00min, mesmo endereço e período no qual os autos do processo administrativo permanecerão com vista franqueada aos interessados.</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22.12</w:t>
      </w:r>
      <w:r>
        <w:rPr>
          <w:rFonts w:cs="Arial" w:ascii="Verdana" w:hAnsi="Verdana"/>
          <w:color w:val="000000"/>
          <w:sz w:val="20"/>
          <w:szCs w:val="20"/>
        </w:rPr>
        <w:t xml:space="preserve"> Integram este Edital, para todos os fins e efeitos, os seguintes anexos</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22.12.1</w:t>
      </w:r>
      <w:r>
        <w:rPr>
          <w:rFonts w:cs="Arial" w:ascii="Verdana" w:hAnsi="Verdana"/>
          <w:color w:val="000000"/>
          <w:sz w:val="20"/>
          <w:szCs w:val="20"/>
        </w:rPr>
        <w:t xml:space="preserve"> ANEXO I – Termo de Referência;</w:t>
      </w:r>
    </w:p>
    <w:p>
      <w:pPr>
        <w:pStyle w:val="Normal"/>
        <w:spacing w:lineRule="auto" w:line="360" w:before="57" w:after="57"/>
        <w:ind w:left="0" w:right="0"/>
        <w:jc w:val="both"/>
        <w:rPr>
          <w:rFonts w:ascii="Verdana" w:hAnsi="Verdana"/>
          <w:sz w:val="20"/>
          <w:szCs w:val="20"/>
        </w:rPr>
      </w:pPr>
      <w:r>
        <w:rPr>
          <w:rFonts w:cs="Arial" w:ascii="Verdana" w:hAnsi="Verdana"/>
          <w:b/>
          <w:bCs/>
          <w:color w:val="000000"/>
          <w:sz w:val="20"/>
          <w:szCs w:val="20"/>
        </w:rPr>
        <w:t>22.12.1.1</w:t>
      </w:r>
      <w:r>
        <w:rPr>
          <w:rFonts w:cs="Arial" w:ascii="Verdana" w:hAnsi="Verdana"/>
          <w:color w:val="000000"/>
          <w:sz w:val="20"/>
          <w:szCs w:val="20"/>
        </w:rPr>
        <w:t xml:space="preserve"> ANEXO I-1 – Estudo Técnico Preliminar;</w:t>
      </w:r>
    </w:p>
    <w:p>
      <w:pPr>
        <w:pStyle w:val="Normal"/>
        <w:tabs>
          <w:tab w:val="clear" w:pos="720"/>
          <w:tab w:val="left" w:pos="800" w:leader="none"/>
        </w:tabs>
        <w:snapToGrid w:val="false"/>
        <w:spacing w:lineRule="auto" w:line="360" w:before="57" w:after="57"/>
        <w:ind w:left="0" w:right="0"/>
        <w:jc w:val="both"/>
        <w:rPr>
          <w:rFonts w:ascii="Verdana" w:hAnsi="Verdana"/>
          <w:sz w:val="20"/>
          <w:szCs w:val="20"/>
        </w:rPr>
      </w:pPr>
      <w:r>
        <w:rPr>
          <w:rFonts w:cs="Arial" w:ascii="Verdana" w:hAnsi="Verdana"/>
          <w:b/>
          <w:bCs/>
          <w:color w:val="000000"/>
          <w:sz w:val="20"/>
          <w:szCs w:val="20"/>
        </w:rPr>
        <w:t>22.12.2</w:t>
      </w:r>
      <w:r>
        <w:rPr>
          <w:rFonts w:cs="Arial" w:ascii="Verdana" w:hAnsi="Verdana"/>
          <w:color w:val="000000"/>
          <w:sz w:val="20"/>
          <w:szCs w:val="20"/>
        </w:rPr>
        <w:t xml:space="preserve"> ANEXO II – Modelo Orientativo de Proposta;</w:t>
      </w:r>
    </w:p>
    <w:p>
      <w:pPr>
        <w:pStyle w:val="Normal"/>
        <w:tabs>
          <w:tab w:val="clear" w:pos="720"/>
          <w:tab w:val="left" w:pos="800" w:leader="none"/>
        </w:tabs>
        <w:snapToGrid w:val="false"/>
        <w:spacing w:lineRule="auto" w:line="360" w:before="57" w:after="57"/>
        <w:ind w:left="0" w:right="0"/>
        <w:jc w:val="both"/>
        <w:rPr>
          <w:rFonts w:ascii="Verdana" w:hAnsi="Verdana"/>
          <w:sz w:val="20"/>
          <w:szCs w:val="20"/>
        </w:rPr>
      </w:pPr>
      <w:r>
        <w:rPr>
          <w:rFonts w:ascii="Verdana" w:hAnsi="Verdana"/>
          <w:sz w:val="20"/>
          <w:szCs w:val="20"/>
        </w:rPr>
      </w:r>
    </w:p>
    <w:p>
      <w:pPr>
        <w:pStyle w:val="Normal"/>
        <w:keepNext w:val="true"/>
        <w:keepLines/>
        <w:numPr>
          <w:ilvl w:val="0"/>
          <w:numId w:val="0"/>
        </w:numPr>
        <w:tabs>
          <w:tab w:val="clear" w:pos="720"/>
          <w:tab w:val="left" w:pos="567" w:leader="none"/>
        </w:tabs>
        <w:spacing w:lineRule="auto" w:line="360" w:before="57" w:after="57"/>
        <w:ind w:hanging="0" w:left="0" w:right="0"/>
        <w:jc w:val="center"/>
        <w:outlineLvl w:val="0"/>
        <w:rPr>
          <w:rFonts w:ascii="Verdana" w:hAnsi="Verdana"/>
          <w:sz w:val="20"/>
          <w:szCs w:val="20"/>
        </w:rPr>
      </w:pPr>
      <w:r>
        <w:rPr>
          <w:rFonts w:cs="Arial" w:ascii="Verdana" w:hAnsi="Verdana"/>
          <w:color w:val="000000"/>
          <w:sz w:val="20"/>
          <w:szCs w:val="20"/>
        </w:rPr>
        <w:t>São Gabriel da Palha/ES, 05 de agosto de 2024.</w:t>
      </w:r>
    </w:p>
    <w:p>
      <w:pPr>
        <w:pStyle w:val="Normal"/>
        <w:tabs>
          <w:tab w:val="clear" w:pos="720"/>
          <w:tab w:val="left" w:pos="1440" w:leader="none"/>
        </w:tabs>
        <w:snapToGrid w:val="false"/>
        <w:spacing w:lineRule="auto" w:line="360" w:before="57" w:after="57"/>
        <w:ind w:left="0" w:right="0"/>
        <w:jc w:val="both"/>
        <w:rPr>
          <w:rFonts w:ascii="Verdana" w:hAnsi="Verdana" w:cs="Arial"/>
          <w:sz w:val="20"/>
          <w:szCs w:val="20"/>
        </w:rPr>
      </w:pPr>
      <w:r>
        <w:rPr>
          <w:rFonts w:cs="Arial" w:ascii="Verdana" w:hAnsi="Verdana"/>
          <w:sz w:val="20"/>
          <w:szCs w:val="20"/>
        </w:rPr>
      </w:r>
    </w:p>
    <w:p>
      <w:pPr>
        <w:pStyle w:val="Normal"/>
        <w:numPr>
          <w:ilvl w:val="0"/>
          <w:numId w:val="0"/>
        </w:numPr>
        <w:tabs>
          <w:tab w:val="clear" w:pos="720"/>
          <w:tab w:val="left" w:pos="567" w:leader="none"/>
        </w:tabs>
        <w:spacing w:lineRule="auto" w:line="360" w:before="57" w:after="57"/>
        <w:ind w:hanging="0" w:left="0" w:right="0"/>
        <w:jc w:val="center"/>
        <w:outlineLvl w:val="0"/>
        <w:rPr>
          <w:rFonts w:ascii="Verdana" w:hAnsi="Verdana"/>
          <w:sz w:val="20"/>
          <w:szCs w:val="20"/>
        </w:rPr>
      </w:pPr>
      <w:r>
        <w:rPr>
          <w:rFonts w:eastAsia="" w:cs="Arial" w:ascii="Verdana" w:hAnsi="Verdana" w:eastAsiaTheme="majorEastAsia"/>
          <w:b/>
          <w:bCs/>
          <w:color w:val="000000"/>
          <w:sz w:val="20"/>
          <w:szCs w:val="20"/>
        </w:rPr>
        <w:t>MARCELA FERREIRA ROSSONI ROCHA</w:t>
      </w:r>
    </w:p>
    <w:p>
      <w:pPr>
        <w:pStyle w:val="Normal"/>
        <w:keepNext w:val="true"/>
        <w:keepLines/>
        <w:numPr>
          <w:ilvl w:val="0"/>
          <w:numId w:val="0"/>
        </w:numPr>
        <w:tabs>
          <w:tab w:val="clear" w:pos="720"/>
          <w:tab w:val="left" w:pos="567" w:leader="none"/>
        </w:tabs>
        <w:spacing w:lineRule="auto" w:line="360" w:before="57" w:after="57"/>
        <w:ind w:hanging="0" w:left="0" w:righ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Assistência, Desenvolvimento Social e Família</w:t>
      </w:r>
    </w:p>
    <w:sectPr>
      <w:headerReference w:type="default" r:id="rId14"/>
      <w:footerReference w:type="default" r:id="rId15"/>
      <w:type w:val="nextPage"/>
      <w:pgSz w:w="11906" w:h="16838"/>
      <w:pgMar w:left="1367" w:right="872" w:gutter="0" w:header="517" w:top="1767" w:footer="158" w:bottom="895"/>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Verdana">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2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720"/>
        </w:tabs>
        <w:ind w:left="720" w:hanging="360"/>
      </w:pPr>
      <w:rPr>
        <w:sz w:val="20"/>
        <w:b/>
        <w:szCs w:val="20"/>
        <w:bCs/>
        <w:rFonts w:ascii="Verdana" w:hAnsi="Verdana"/>
      </w:rPr>
    </w:lvl>
    <w:lvl w:ilvl="1">
      <w:start w:val="1"/>
      <w:numFmt w:val="decimal"/>
      <w:lvlText w:val="%2."/>
      <w:lvlJc w:val="left"/>
      <w:pPr>
        <w:tabs>
          <w:tab w:val="num" w:pos="1080"/>
        </w:tabs>
        <w:ind w:left="1080" w:hanging="360"/>
      </w:pPr>
      <w:rPr>
        <w:sz w:val="20"/>
        <w:b/>
        <w:szCs w:val="20"/>
        <w:bCs/>
        <w:rFonts w:ascii="Verdana" w:hAnsi="Verdana"/>
      </w:rPr>
    </w:lvl>
    <w:lvl w:ilvl="2">
      <w:start w:val="1"/>
      <w:numFmt w:val="decimal"/>
      <w:lvlText w:val="%3."/>
      <w:lvlJc w:val="left"/>
      <w:pPr>
        <w:tabs>
          <w:tab w:val="num" w:pos="1440"/>
        </w:tabs>
        <w:ind w:left="1440" w:hanging="360"/>
      </w:pPr>
      <w:rPr>
        <w:sz w:val="20"/>
        <w:b/>
        <w:szCs w:val="20"/>
        <w:bCs/>
        <w:rFonts w:ascii="Verdana" w:hAnsi="Verdana"/>
      </w:rPr>
    </w:lvl>
    <w:lvl w:ilvl="3">
      <w:start w:val="1"/>
      <w:numFmt w:val="decimal"/>
      <w:lvlText w:val="%4."/>
      <w:lvlJc w:val="left"/>
      <w:pPr>
        <w:tabs>
          <w:tab w:val="num" w:pos="1800"/>
        </w:tabs>
        <w:ind w:left="1800" w:hanging="360"/>
      </w:pPr>
      <w:rPr>
        <w:sz w:val="20"/>
        <w:b/>
        <w:szCs w:val="20"/>
        <w:bCs/>
        <w:rFonts w:ascii="Verdana" w:hAnsi="Verdana"/>
      </w:rPr>
    </w:lvl>
    <w:lvl w:ilvl="4">
      <w:start w:val="1"/>
      <w:numFmt w:val="decimal"/>
      <w:lvlText w:val="%5."/>
      <w:lvlJc w:val="left"/>
      <w:pPr>
        <w:tabs>
          <w:tab w:val="num" w:pos="2160"/>
        </w:tabs>
        <w:ind w:left="2160" w:hanging="360"/>
      </w:pPr>
      <w:rPr>
        <w:sz w:val="20"/>
        <w:b/>
        <w:szCs w:val="20"/>
        <w:bCs/>
        <w:rFonts w:ascii="Verdana" w:hAnsi="Verdana"/>
      </w:rPr>
    </w:lvl>
    <w:lvl w:ilvl="5">
      <w:start w:val="1"/>
      <w:numFmt w:val="decimal"/>
      <w:lvlText w:val="%6."/>
      <w:lvlJc w:val="left"/>
      <w:pPr>
        <w:tabs>
          <w:tab w:val="num" w:pos="2520"/>
        </w:tabs>
        <w:ind w:left="2520" w:hanging="360"/>
      </w:pPr>
      <w:rPr>
        <w:sz w:val="20"/>
        <w:b/>
        <w:szCs w:val="20"/>
        <w:bCs/>
        <w:rFonts w:ascii="Verdana" w:hAnsi="Verdana"/>
      </w:rPr>
    </w:lvl>
    <w:lvl w:ilvl="6">
      <w:start w:val="1"/>
      <w:numFmt w:val="decimal"/>
      <w:lvlText w:val="%7."/>
      <w:lvlJc w:val="left"/>
      <w:pPr>
        <w:tabs>
          <w:tab w:val="num" w:pos="2880"/>
        </w:tabs>
        <w:ind w:left="2880" w:hanging="360"/>
      </w:pPr>
      <w:rPr>
        <w:sz w:val="20"/>
        <w:b/>
        <w:szCs w:val="20"/>
        <w:bCs/>
        <w:rFonts w:ascii="Verdana" w:hAnsi="Verdana"/>
      </w:rPr>
    </w:lvl>
    <w:lvl w:ilvl="7">
      <w:start w:val="1"/>
      <w:numFmt w:val="decimal"/>
      <w:lvlText w:val="%8."/>
      <w:lvlJc w:val="left"/>
      <w:pPr>
        <w:tabs>
          <w:tab w:val="num" w:pos="3240"/>
        </w:tabs>
        <w:ind w:left="3240" w:hanging="360"/>
      </w:pPr>
      <w:rPr>
        <w:sz w:val="20"/>
        <w:b/>
        <w:szCs w:val="20"/>
        <w:bCs/>
        <w:rFonts w:ascii="Verdana" w:hAnsi="Verdana"/>
      </w:rPr>
    </w:lvl>
    <w:lvl w:ilvl="8">
      <w:start w:val="1"/>
      <w:numFmt w:val="decimal"/>
      <w:lvlText w:val="%9."/>
      <w:lvlJc w:val="left"/>
      <w:pPr>
        <w:tabs>
          <w:tab w:val="num" w:pos="3600"/>
        </w:tabs>
        <w:ind w:left="3600" w:hanging="360"/>
      </w:pPr>
      <w:rPr>
        <w:sz w:val="20"/>
        <w:b/>
        <w:szCs w:val="20"/>
        <w:bCs/>
        <w:rFonts w:ascii="Verdana" w:hAnsi="Verdana"/>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szCs w:val="20"/>
        <w:bCs/>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bering>
</file>

<file path=word/settings.xml><?xml version="1.0" encoding="utf-8"?>
<w:settings xmlns:w="http://schemas.openxmlformats.org/wordprocessingml/2006/main">
  <w:zoom w:percent="90"/>
  <w:defaultTabStop w:val="720"/>
  <w:autoHyphenation w:val="true"/>
  <w:hyphenationZone w:val="425"/>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rFonts w:ascii="Verdana" w:hAnsi="Verdana"/>
      <w:b/>
      <w:bCs/>
      <w:sz w:val="20"/>
      <w:szCs w:val="20"/>
    </w:rPr>
  </w:style>
  <w:style w:type="character" w:styleId="FollowedHyperlink">
    <w:name w:val="FollowedHyperlink"/>
    <w:basedOn w:val="DefaultParagraphFont"/>
    <w:rPr>
      <w:color w:themeColor="followedHyperlink" w:val="954F72"/>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name w:val="caption1"/>
    <w:basedOn w:val="Normal"/>
    <w:qFormat/>
    <w:pPr>
      <w:suppressLineNumbers/>
      <w:spacing w:before="120" w:after="120"/>
    </w:pPr>
    <w:rPr>
      <w:rFonts w:cs="Arial"/>
      <w:i/>
      <w:iCs/>
    </w:rPr>
  </w:style>
  <w:style w:type="paragraph" w:styleId="ListParagraph">
    <w:name w:val="List Paragraph"/>
    <w:basedOn w:val="Normal"/>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NoList" w:default="1">
    <w:name w:val="No List"/>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omprasgovernamentais.gov.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http://www.comprasgovernamentai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2711</TotalTime>
  <Application>LibreOffice/7.6.7.2$Windows_X86_64 LibreOffice_project/dd47e4b30cb7dab30588d6c79c651f218165e3c5</Application>
  <AppVersion>15.0000</AppVersion>
  <Pages>25</Pages>
  <Words>9514</Words>
  <Characters>53796</Characters>
  <CharactersWithSpaces>62928</CharactersWithSpaces>
  <Paragraphs>341</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2024-05-16T17:29:00Z</dcterms:created>
  <dc:creator>Compras</dc:creator>
  <dc:description/>
  <dc:language>pt-BR</dc:language>
  <cp:lastModifiedBy/>
  <cp:lastPrinted>2024-08-06T14:54:37Z</cp:lastPrinted>
  <dcterms:modified xsi:type="dcterms:W3CDTF">2024-09-13T12:49:10Z</dcterms:modified>
  <cp:revision>153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